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b/>
          <w:bCs/>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t>萍乡市卫生学校（萍乡卫生职业学院）</w:t>
      </w:r>
      <w:r>
        <w:rPr>
          <w:rFonts w:hint="eastAsia" w:ascii="仿宋_GB2312" w:hAnsi="仿宋_GB2312" w:eastAsia="仿宋_GB2312" w:cs="仿宋_GB2312"/>
          <w:b/>
          <w:bCs/>
          <w:color w:val="000000" w:themeColor="text1"/>
          <w:sz w:val="36"/>
          <w:szCs w:val="36"/>
          <w:lang w:eastAsia="zh-CN"/>
          <w14:textFill>
            <w14:solidFill>
              <w14:schemeClr w14:val="tx1"/>
            </w14:solidFill>
          </w14:textFill>
        </w:rPr>
        <w:t>2021年</w:t>
      </w:r>
      <w:r>
        <w:rPr>
          <w:rFonts w:hint="eastAsia" w:ascii="仿宋_GB2312" w:hAnsi="仿宋_GB2312" w:eastAsia="仿宋_GB2312" w:cs="仿宋_GB2312"/>
          <w:b/>
          <w:bCs/>
          <w:color w:val="000000" w:themeColor="text1"/>
          <w:sz w:val="36"/>
          <w:szCs w:val="36"/>
          <w14:textFill>
            <w14:solidFill>
              <w14:schemeClr w14:val="tx1"/>
            </w14:solidFill>
          </w14:textFill>
        </w:rPr>
        <w:t>度部门整体支出绩效自评报告</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切实</w:t>
      </w:r>
      <w:r>
        <w:rPr>
          <w:rFonts w:hint="eastAsia" w:ascii="仿宋_GB2312" w:hAnsi="仿宋_GB2312" w:eastAsia="仿宋_GB2312" w:cs="仿宋_GB2312"/>
          <w:color w:val="000000" w:themeColor="text1"/>
          <w:sz w:val="30"/>
          <w:szCs w:val="30"/>
          <w14:textFill>
            <w14:solidFill>
              <w14:schemeClr w14:val="tx1"/>
            </w14:solidFill>
          </w14:textFill>
        </w:rPr>
        <w:t>做好</w:t>
      </w:r>
      <w:r>
        <w:rPr>
          <w:rFonts w:hint="eastAsia" w:ascii="仿宋_GB2312" w:hAnsi="仿宋_GB2312" w:eastAsia="仿宋_GB2312" w:cs="仿宋_GB2312"/>
          <w:color w:val="000000" w:themeColor="text1"/>
          <w:sz w:val="30"/>
          <w:szCs w:val="30"/>
          <w:lang w:eastAsia="zh-CN"/>
          <w14:textFill>
            <w14:solidFill>
              <w14:schemeClr w14:val="tx1"/>
            </w14:solidFill>
          </w14:textFill>
        </w:rPr>
        <w:t>2021年</w:t>
      </w:r>
      <w:r>
        <w:rPr>
          <w:rFonts w:hint="eastAsia" w:ascii="仿宋_GB2312" w:hAnsi="仿宋_GB2312" w:eastAsia="仿宋_GB2312" w:cs="仿宋_GB2312"/>
          <w:color w:val="000000" w:themeColor="text1"/>
          <w:sz w:val="30"/>
          <w:szCs w:val="30"/>
          <w14:textFill>
            <w14:solidFill>
              <w14:schemeClr w14:val="tx1"/>
            </w14:solidFill>
          </w14:textFill>
        </w:rPr>
        <w:t>度部门整体支出绩效自评工作，提高财政资金使用效益，根据《</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萍乡市财政局关于开展绩效管理单位自评及部门评价工作的通知</w:t>
      </w:r>
      <w:r>
        <w:rPr>
          <w:rFonts w:hint="eastAsia" w:ascii="仿宋_GB2312" w:hAnsi="仿宋_GB2312" w:eastAsia="仿宋_GB2312" w:cs="仿宋_GB2312"/>
          <w:color w:val="000000" w:themeColor="text1"/>
          <w:sz w:val="30"/>
          <w:szCs w:val="30"/>
          <w14:textFill>
            <w14:solidFill>
              <w14:schemeClr w14:val="tx1"/>
            </w14:solidFill>
          </w14:textFill>
        </w:rPr>
        <w:t>》文件精神，结合实际，分析总结，现将我单位整体支出绩效自评结果报告如下：</w:t>
      </w:r>
    </w:p>
    <w:p>
      <w:pPr>
        <w:pStyle w:val="5"/>
        <w:keepNext w:val="0"/>
        <w:keepLines w:val="0"/>
        <w:pageBreakBefore w:val="0"/>
        <w:shd w:val="clear" w:color="auto" w:fill="FFFFFF"/>
        <w:kinsoku/>
        <w:wordWrap/>
        <w:overflowPunct/>
        <w:topLinePunct w:val="0"/>
        <w:autoSpaceDE/>
        <w:autoSpaceDN/>
        <w:bidi w:val="0"/>
        <w:spacing w:line="500" w:lineRule="exact"/>
        <w:ind w:left="562"/>
        <w:jc w:val="both"/>
        <w:textAlignment w:val="auto"/>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一、</w:t>
      </w: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部门概况</w:t>
      </w:r>
    </w:p>
    <w:p>
      <w:pPr>
        <w:keepNext w:val="0"/>
        <w:keepLines w:val="0"/>
        <w:pageBreakBefore w:val="0"/>
        <w:kinsoku/>
        <w:wordWrap/>
        <w:overflowPunct/>
        <w:topLinePunct w:val="0"/>
        <w:autoSpaceDE/>
        <w:autoSpaceDN/>
        <w:bidi w:val="0"/>
        <w:spacing w:line="500" w:lineRule="exact"/>
        <w:ind w:firstLine="602" w:firstLineChars="200"/>
        <w:textAlignment w:val="auto"/>
        <w:rPr>
          <w:rFonts w:hint="eastAsia" w:ascii="仿宋_GB2312" w:hAnsi="仿宋_GB2312" w:eastAsia="仿宋_GB2312" w:cs="仿宋_GB2312"/>
          <w:b/>
          <w:bCs w:val="0"/>
          <w:color w:val="000000" w:themeColor="text1"/>
          <w:sz w:val="30"/>
          <w:szCs w:val="30"/>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（一）职责职能及人员构成</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萍乡市卫生学校</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萍乡卫生职业学院</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性质为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全额拨款</w:t>
      </w:r>
      <w:r>
        <w:rPr>
          <w:rFonts w:hint="eastAsia" w:ascii="仿宋_GB2312" w:hAnsi="仿宋_GB2312" w:eastAsia="仿宋_GB2312" w:cs="仿宋_GB2312"/>
          <w:color w:val="000000" w:themeColor="text1"/>
          <w:sz w:val="30"/>
          <w:szCs w:val="30"/>
          <w14:textFill>
            <w14:solidFill>
              <w14:schemeClr w14:val="tx1"/>
            </w14:solidFill>
          </w14:textFill>
        </w:rPr>
        <w:t>事业单位，按照规定实行《事业单位会计制度》，内设党政管理机构1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w:t>
      </w:r>
      <w:r>
        <w:rPr>
          <w:rFonts w:hint="eastAsia" w:ascii="仿宋_GB2312" w:hAnsi="仿宋_GB2312" w:eastAsia="仿宋_GB2312" w:cs="仿宋_GB2312"/>
          <w:color w:val="000000" w:themeColor="text1"/>
          <w:sz w:val="30"/>
          <w:szCs w:val="30"/>
          <w14:textFill>
            <w14:solidFill>
              <w14:schemeClr w14:val="tx1"/>
            </w14:solidFill>
          </w14:textFill>
        </w:rPr>
        <w:t>个，教学教辅机构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12</w:t>
      </w:r>
      <w:r>
        <w:rPr>
          <w:rFonts w:hint="eastAsia" w:ascii="仿宋_GB2312" w:hAnsi="仿宋_GB2312" w:eastAsia="仿宋_GB2312" w:cs="仿宋_GB2312"/>
          <w:color w:val="000000" w:themeColor="text1"/>
          <w:sz w:val="30"/>
          <w:szCs w:val="30"/>
          <w14:textFill>
            <w14:solidFill>
              <w14:schemeClr w14:val="tx1"/>
            </w14:solidFill>
          </w14:textFill>
        </w:rPr>
        <w:t>个</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经机构编制管理部门核定：财政负担在职编内人员1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83</w:t>
      </w:r>
      <w:r>
        <w:rPr>
          <w:rFonts w:hint="eastAsia" w:ascii="仿宋_GB2312" w:hAnsi="仿宋_GB2312" w:eastAsia="仿宋_GB2312" w:cs="仿宋_GB2312"/>
          <w:color w:val="000000" w:themeColor="text1"/>
          <w:sz w:val="30"/>
          <w:szCs w:val="30"/>
          <w14:textFill>
            <w14:solidFill>
              <w14:schemeClr w14:val="tx1"/>
            </w14:solidFill>
          </w14:textFill>
        </w:rPr>
        <w:t>人,退休人员5</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7</w:t>
      </w:r>
      <w:r>
        <w:rPr>
          <w:rFonts w:hint="eastAsia" w:ascii="仿宋_GB2312" w:hAnsi="仿宋_GB2312" w:eastAsia="仿宋_GB2312" w:cs="仿宋_GB2312"/>
          <w:color w:val="000000" w:themeColor="text1"/>
          <w:sz w:val="30"/>
          <w:szCs w:val="30"/>
          <w14:textFill>
            <w14:solidFill>
              <w14:schemeClr w14:val="tx1"/>
            </w14:solidFill>
          </w14:textFill>
        </w:rPr>
        <w:t>人。学校全面贯彻党和国家的教育、卫生工作方针开展教育教学科学研究，承担</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医药卫生类</w:t>
      </w:r>
      <w:r>
        <w:rPr>
          <w:rFonts w:hint="eastAsia" w:ascii="仿宋_GB2312" w:hAnsi="仿宋_GB2312" w:eastAsia="仿宋_GB2312" w:cs="仿宋_GB2312"/>
          <w:color w:val="000000" w:themeColor="text1"/>
          <w:sz w:val="30"/>
          <w:szCs w:val="30"/>
          <w14:textFill>
            <w14:solidFill>
              <w14:schemeClr w14:val="tx1"/>
            </w14:solidFill>
          </w14:textFill>
        </w:rPr>
        <w:t>全日制中等职业教育</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医药卫生类全日制普通高等学历教育</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专科层次</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和医药卫生行业技术培训等非学历教育。</w:t>
      </w:r>
    </w:p>
    <w:p>
      <w:pPr>
        <w:keepNext w:val="0"/>
        <w:keepLines w:val="0"/>
        <w:pageBreakBefore w:val="0"/>
        <w:kinsoku/>
        <w:wordWrap/>
        <w:overflowPunct/>
        <w:topLinePunct w:val="0"/>
        <w:autoSpaceDE/>
        <w:autoSpaceDN/>
        <w:bidi w:val="0"/>
        <w:spacing w:line="500" w:lineRule="exact"/>
        <w:ind w:firstLine="753" w:firstLineChars="25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（二）总体目标、工作任务</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坚持中国特色社会主义办学方向，落实建设教育强国、实施健康中国战略，提升教学创新能力，突出办学特色，不断提高教育教学质量；积极回馈社会，为赣西及周边地区经济社会发展提供高素质职业技能型卫生类人才的培养和服务。</w:t>
      </w:r>
    </w:p>
    <w:p>
      <w:pPr>
        <w:keepNext w:val="0"/>
        <w:keepLines w:val="0"/>
        <w:pageBreakBefore w:val="0"/>
        <w:kinsoku/>
        <w:wordWrap/>
        <w:overflowPunct/>
        <w:topLinePunct w:val="0"/>
        <w:autoSpaceDE/>
        <w:autoSpaceDN/>
        <w:bidi w:val="0"/>
        <w:spacing w:line="500" w:lineRule="exact"/>
        <w:ind w:firstLine="753" w:firstLineChars="25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（三）单位年度整体支出绩效目标</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目标1：坚持中国特色社会主义办学方向，全面贯彻党和国家的教育、卫生工作方针，执行国家法律法规，依法办学，落实建设教育强国、健康中国战略策略；目标2：保障学校正常运转及工资福利及时发放到位；目标3：开展教育教学科学研究，提升教学创新能力，革新人才培养模式，深化内涵发展，突出办学特色，不断提高教育教学质量；目标4：承担全日制中等、高等职业教育，努力构建德智体美劳全面教育方向，培养全面发展的专科学历层次高素质职业技能型人才。</w:t>
      </w:r>
    </w:p>
    <w:p>
      <w:pPr>
        <w:keepNext w:val="0"/>
        <w:keepLines w:val="0"/>
        <w:pageBreakBefore w:val="0"/>
        <w:kinsoku/>
        <w:wordWrap/>
        <w:overflowPunct/>
        <w:topLinePunct w:val="0"/>
        <w:autoSpaceDE/>
        <w:autoSpaceDN/>
        <w:bidi w:val="0"/>
        <w:spacing w:line="500" w:lineRule="exact"/>
        <w:ind w:firstLine="753" w:firstLineChars="25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（四）预算绩效管理开展情况</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学校严格遵守各项财经纪律，制定了相关规章制度，加强和细化了预算</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绩效管理，</w:t>
      </w:r>
      <w:r>
        <w:rPr>
          <w:rFonts w:hint="eastAsia" w:ascii="仿宋_GB2312" w:hAnsi="仿宋_GB2312" w:eastAsia="仿宋_GB2312" w:cs="仿宋_GB2312"/>
          <w:color w:val="000000" w:themeColor="text1"/>
          <w:sz w:val="30"/>
          <w:szCs w:val="30"/>
          <w14:textFill>
            <w14:solidFill>
              <w14:schemeClr w14:val="tx1"/>
            </w14:solidFill>
          </w14:textFill>
        </w:rPr>
        <w:t>主要措施有：</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1、健全项目资金预算绩效运行监控工作机制</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完善了《预算绩效管理办法》</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.成立了</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由党委书记和校长为双组长、分管相关工作的校领导为副组长</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0"/>
          <w:szCs w:val="30"/>
          <w:shd w:val="clear" w:fill="FFFFFF"/>
          <w:lang w:val="en-US" w:eastAsia="zh-CN"/>
          <w14:textFill>
            <w14:solidFill>
              <w14:schemeClr w14:val="tx1"/>
            </w14:solidFill>
          </w14:textFill>
        </w:rPr>
        <w:t>规划财务处、党政办公室、教务处、招生就业处、后勤保障处、人事处、教研科研处、资产管理办公室等部门负责人为成员的</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预算绩效管理工作领导小组</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为绩效管理的长效性提供了保障。</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color w:val="000000" w:themeColor="text1"/>
          <w:sz w:val="30"/>
          <w:szCs w:val="30"/>
          <w14:textFill>
            <w14:solidFill>
              <w14:schemeClr w14:val="tx1"/>
            </w14:solidFill>
          </w14:textFill>
        </w:rPr>
        <w:t>全面实行预算管理。通过优化预算编制流程，细化预算编制项目，增强了预算的科学性和合理性，绩效目标更加明晰。</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完善动态监控运作机制。通过财政一体化平台动态监控财政资金支付活动。从预算批复立项开始，及时编报项目绩效考核指标，完善组织政府采购招标手续，督办项目执行进度形成事前事中有效控制、事后跟踪问效的资金支付使用监控模式。</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lang w:val="en-US"/>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2、督导项目执行进度监控运行情况</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（1）进一步规范项目绩效及支出，项目论证职责是按照“谁实施、谁负责”的原则，明确被考核对象，项目负责部门是被考核的主体，负责制定绩效目标，编制政府采购预算和自评报告。</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（2）充分利用预算指标、项目库、银行账户、用款计划、资金支付、会计核算等数据信息，分析预算项目执行趋势和绩效指标完成进度，实现动态监控项目绩效运行情况功能。</w:t>
      </w:r>
    </w:p>
    <w:p>
      <w:pPr>
        <w:keepNext w:val="0"/>
        <w:keepLines w:val="0"/>
        <w:pageBreakBefore w:val="0"/>
        <w:numPr>
          <w:ilvl w:val="0"/>
          <w:numId w:val="0"/>
        </w:numPr>
        <w:kinsoku/>
        <w:wordWrap/>
        <w:overflowPunct/>
        <w:topLinePunct w:val="0"/>
        <w:autoSpaceDE/>
        <w:autoSpaceDN/>
        <w:bidi w:val="0"/>
        <w:spacing w:line="500" w:lineRule="exact"/>
        <w:ind w:leftChars="0" w:firstLine="602" w:firstLineChars="200"/>
        <w:textAlignment w:val="auto"/>
        <w:rPr>
          <w:rFonts w:hint="eastAsia"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b/>
          <w:color w:val="000000" w:themeColor="text1"/>
          <w:sz w:val="30"/>
          <w:szCs w:val="30"/>
          <w:highlight w:val="none"/>
          <w:lang w:val="en-US" w:eastAsia="zh-CN"/>
          <w14:textFill>
            <w14:solidFill>
              <w14:schemeClr w14:val="tx1"/>
            </w14:solidFill>
          </w14:textFill>
        </w:rPr>
        <w:t>五</w:t>
      </w:r>
      <w:r>
        <w:rPr>
          <w:rFonts w:hint="eastAsia" w:ascii="仿宋_GB2312" w:hAnsi="仿宋_GB2312" w:eastAsia="仿宋_GB2312" w:cs="仿宋_GB2312"/>
          <w:b/>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b/>
          <w:color w:val="000000" w:themeColor="text1"/>
          <w:sz w:val="30"/>
          <w:szCs w:val="30"/>
          <w:highlight w:val="none"/>
          <w14:textFill>
            <w14:solidFill>
              <w14:schemeClr w14:val="tx1"/>
            </w14:solidFill>
          </w14:textFill>
        </w:rPr>
        <w:t>单位预算及执行情况</w:t>
      </w:r>
    </w:p>
    <w:p>
      <w:pPr>
        <w:keepNext w:val="0"/>
        <w:keepLines w:val="0"/>
        <w:pageBreakBefore w:val="0"/>
        <w:kinsoku/>
        <w:wordWrap/>
        <w:overflowPunct/>
        <w:topLinePunct w:val="0"/>
        <w:autoSpaceDE/>
        <w:autoSpaceDN/>
        <w:bidi w:val="0"/>
        <w:spacing w:line="500" w:lineRule="exact"/>
        <w:ind w:firstLine="602" w:firstLineChars="200"/>
        <w:textAlignment w:val="auto"/>
        <w:rPr>
          <w:rFonts w:hint="eastAsia" w:ascii="仿宋_GB2312" w:hAnsi="仿宋_GB2312" w:eastAsia="仿宋_GB2312" w:cs="仿宋_GB2312"/>
          <w:b/>
          <w:bCs/>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bCs/>
          <w:color w:val="000000" w:themeColor="text1"/>
          <w:kern w:val="0"/>
          <w:sz w:val="30"/>
          <w:szCs w:val="30"/>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kern w:val="0"/>
          <w:sz w:val="30"/>
          <w:szCs w:val="30"/>
          <w:highlight w:val="none"/>
          <w14:textFill>
            <w14:solidFill>
              <w14:schemeClr w14:val="tx1"/>
            </w14:solidFill>
          </w14:textFill>
        </w:rPr>
        <w:t>、</w:t>
      </w:r>
      <w:r>
        <w:rPr>
          <w:rFonts w:hint="eastAsia" w:ascii="仿宋_GB2312" w:hAnsi="仿宋_GB2312" w:eastAsia="仿宋_GB2312" w:cs="仿宋_GB2312"/>
          <w:b/>
          <w:bCs/>
          <w:color w:val="000000" w:themeColor="text1"/>
          <w:kern w:val="0"/>
          <w:sz w:val="30"/>
          <w:szCs w:val="30"/>
          <w:highlight w:val="none"/>
          <w:lang w:val="en-US" w:eastAsia="zh-CN"/>
          <w14:textFill>
            <w14:solidFill>
              <w14:schemeClr w14:val="tx1"/>
            </w14:solidFill>
          </w14:textFill>
        </w:rPr>
        <w:t>2021</w:t>
      </w:r>
      <w:r>
        <w:rPr>
          <w:rFonts w:hint="eastAsia" w:ascii="仿宋_GB2312" w:hAnsi="仿宋_GB2312" w:eastAsia="仿宋_GB2312" w:cs="仿宋_GB2312"/>
          <w:b/>
          <w:bCs/>
          <w:color w:val="000000" w:themeColor="text1"/>
          <w:kern w:val="0"/>
          <w:sz w:val="30"/>
          <w:szCs w:val="30"/>
          <w:highlight w:val="none"/>
          <w14:textFill>
            <w14:solidFill>
              <w14:schemeClr w14:val="tx1"/>
            </w14:solidFill>
          </w14:textFill>
        </w:rPr>
        <w:t>年部门预算收支情况说明</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2021年</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年</w:t>
      </w:r>
      <w:r>
        <w:rPr>
          <w:rFonts w:hint="eastAsia" w:ascii="仿宋_GB2312" w:hAnsi="仿宋_GB2312" w:eastAsia="仿宋_GB2312" w:cs="仿宋_GB2312"/>
          <w:color w:val="000000" w:themeColor="text1"/>
          <w:sz w:val="30"/>
          <w:szCs w:val="30"/>
          <w:highlight w:val="none"/>
          <w14:textFill>
            <w14:solidFill>
              <w14:schemeClr w14:val="tx1"/>
            </w14:solidFill>
          </w14:textFill>
        </w:rPr>
        <w:t>度</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收入预算</w:t>
      </w:r>
      <w:r>
        <w:rPr>
          <w:rFonts w:hint="eastAsia" w:ascii="仿宋_GB2312" w:hAnsi="仿宋_GB2312" w:eastAsia="仿宋_GB2312" w:cs="仿宋_GB2312"/>
          <w:color w:val="000000" w:themeColor="text1"/>
          <w:sz w:val="30"/>
          <w:szCs w:val="30"/>
          <w:highlight w:val="none"/>
          <w14:textFill>
            <w14:solidFill>
              <w14:schemeClr w14:val="tx1"/>
            </w14:solidFill>
          </w14:textFill>
        </w:rPr>
        <w:t>为8753.6万元，较上年预算安排增加3462.9万元</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主要是上年度经费结转</w:t>
      </w:r>
      <w:r>
        <w:rPr>
          <w:rFonts w:hint="eastAsia" w:ascii="仿宋_GB2312" w:hAnsi="仿宋_GB2312" w:eastAsia="仿宋_GB2312" w:cs="仿宋_GB2312"/>
          <w:color w:val="000000" w:themeColor="text1"/>
          <w:sz w:val="30"/>
          <w:szCs w:val="30"/>
          <w:highlight w:val="none"/>
          <w14:textFill>
            <w14:solidFill>
              <w14:schemeClr w14:val="tx1"/>
            </w14:solidFill>
          </w14:textFill>
        </w:rPr>
        <w:t>。其中：当年财政拨款收入1638.17万元，事业收入3300万元</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年初结转结余3816.65万元</w:t>
      </w:r>
      <w:r>
        <w:rPr>
          <w:rFonts w:hint="eastAsia" w:ascii="仿宋_GB2312" w:hAnsi="仿宋_GB2312" w:eastAsia="仿宋_GB2312" w:cs="仿宋_GB2312"/>
          <w:color w:val="000000" w:themeColor="text1"/>
          <w:sz w:val="30"/>
          <w:szCs w:val="30"/>
          <w:highlight w:val="none"/>
          <w14:textFill>
            <w14:solidFill>
              <w14:schemeClr w14:val="tx1"/>
            </w14:solidFill>
          </w14:textFill>
        </w:rPr>
        <w:t>。预算支出总额为8753.6万元，其中：工资福利支出1548.83万元，商品和服务支出1973.39万元，对个人和家庭的补助支出88.54万元，资本性支出5142.8万元。</w:t>
      </w:r>
    </w:p>
    <w:p>
      <w:pPr>
        <w:keepNext w:val="0"/>
        <w:keepLines w:val="0"/>
        <w:pageBreakBefore w:val="0"/>
        <w:widowControl/>
        <w:kinsoku/>
        <w:wordWrap/>
        <w:overflowPunct/>
        <w:topLinePunct w:val="0"/>
        <w:autoSpaceDE/>
        <w:autoSpaceDN/>
        <w:bidi w:val="0"/>
        <w:spacing w:line="500" w:lineRule="exact"/>
        <w:ind w:firstLine="602" w:firstLineChars="200"/>
        <w:jc w:val="left"/>
        <w:textAlignment w:val="auto"/>
        <w:rPr>
          <w:rFonts w:hint="eastAsia" w:ascii="仿宋_GB2312" w:hAnsi="仿宋_GB2312" w:eastAsia="仿宋_GB2312" w:cs="仿宋_GB2312"/>
          <w:b/>
          <w:bCs/>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bCs/>
          <w:color w:val="000000" w:themeColor="text1"/>
          <w:kern w:val="0"/>
          <w:sz w:val="30"/>
          <w:szCs w:val="30"/>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0"/>
          <w:szCs w:val="30"/>
          <w:highlight w:val="none"/>
          <w14:textFill>
            <w14:solidFill>
              <w14:schemeClr w14:val="tx1"/>
            </w14:solidFill>
          </w14:textFill>
        </w:rPr>
        <w:t>、</w:t>
      </w:r>
      <w:r>
        <w:rPr>
          <w:rFonts w:hint="eastAsia" w:ascii="仿宋_GB2312" w:hAnsi="仿宋_GB2312" w:eastAsia="仿宋_GB2312" w:cs="仿宋_GB2312"/>
          <w:b/>
          <w:bCs/>
          <w:color w:val="000000" w:themeColor="text1"/>
          <w:kern w:val="0"/>
          <w:sz w:val="30"/>
          <w:szCs w:val="30"/>
          <w:highlight w:val="none"/>
          <w:lang w:val="en-US" w:eastAsia="zh-CN"/>
          <w14:textFill>
            <w14:solidFill>
              <w14:schemeClr w14:val="tx1"/>
            </w14:solidFill>
          </w14:textFill>
        </w:rPr>
        <w:t>2021</w:t>
      </w:r>
      <w:r>
        <w:rPr>
          <w:rFonts w:hint="eastAsia" w:ascii="仿宋_GB2312" w:hAnsi="仿宋_GB2312" w:eastAsia="仿宋_GB2312" w:cs="仿宋_GB2312"/>
          <w:b/>
          <w:bCs/>
          <w:color w:val="000000" w:themeColor="text1"/>
          <w:kern w:val="0"/>
          <w:sz w:val="30"/>
          <w:szCs w:val="30"/>
          <w:highlight w:val="none"/>
          <w14:textFill>
            <w14:solidFill>
              <w14:schemeClr w14:val="tx1"/>
            </w14:solidFill>
          </w14:textFill>
        </w:rPr>
        <w:t>年部门决算收支情况说明</w:t>
      </w:r>
    </w:p>
    <w:p>
      <w:pPr>
        <w:keepNext w:val="0"/>
        <w:keepLines w:val="0"/>
        <w:pageBreakBefore w:val="0"/>
        <w:widowControl/>
        <w:kinsoku/>
        <w:wordWrap/>
        <w:overflowPunct/>
        <w:topLinePunct w:val="0"/>
        <w:autoSpaceDE/>
        <w:autoSpaceDN/>
        <w:bidi w:val="0"/>
        <w:spacing w:line="500" w:lineRule="exact"/>
        <w:ind w:firstLine="600" w:firstLineChars="200"/>
        <w:jc w:val="left"/>
        <w:textAlignment w:val="auto"/>
        <w:rPr>
          <w:rFonts w:hint="eastAsia" w:ascii="仿宋_GB2312" w:hAnsi="仿宋_GB2312" w:eastAsia="仿宋_GB2312" w:cs="仿宋_GB2312"/>
          <w:color w:val="000000" w:themeColor="text1"/>
          <w:sz w:val="30"/>
          <w:szCs w:val="30"/>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全年收入决算数27065.09万元，其中：</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财政拨款预算</w:t>
      </w:r>
      <w:r>
        <w:rPr>
          <w:rFonts w:hint="eastAsia" w:ascii="仿宋_GB2312" w:hAnsi="仿宋_GB2312" w:eastAsia="仿宋_GB2312" w:cs="仿宋_GB2312"/>
          <w:color w:val="000000" w:themeColor="text1"/>
          <w:sz w:val="30"/>
          <w:szCs w:val="30"/>
          <w:highlight w:val="none"/>
          <w14:textFill>
            <w14:solidFill>
              <w14:schemeClr w14:val="tx1"/>
            </w14:solidFill>
          </w14:textFill>
        </w:rPr>
        <w:t>收入8420.44万元，政府性基金财政拨款8477.73</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万元，</w:t>
      </w:r>
      <w:r>
        <w:rPr>
          <w:rFonts w:hint="eastAsia" w:ascii="仿宋_GB2312" w:hAnsi="仿宋_GB2312" w:eastAsia="仿宋_GB2312" w:cs="仿宋_GB2312"/>
          <w:color w:val="000000" w:themeColor="text1"/>
          <w:sz w:val="30"/>
          <w:szCs w:val="30"/>
          <w:highlight w:val="none"/>
          <w14:textFill>
            <w14:solidFill>
              <w14:schemeClr w14:val="tx1"/>
            </w14:solidFill>
          </w14:textFill>
        </w:rPr>
        <w:t>上年</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度</w:t>
      </w:r>
      <w:r>
        <w:rPr>
          <w:rFonts w:hint="eastAsia" w:ascii="仿宋_GB2312" w:hAnsi="仿宋_GB2312" w:eastAsia="仿宋_GB2312" w:cs="仿宋_GB2312"/>
          <w:color w:val="000000" w:themeColor="text1"/>
          <w:sz w:val="30"/>
          <w:szCs w:val="30"/>
          <w:highlight w:val="none"/>
          <w14:textFill>
            <w14:solidFill>
              <w14:schemeClr w14:val="tx1"/>
            </w14:solidFill>
          </w14:textFill>
        </w:rPr>
        <w:t>结转和结余3816.65万元，事业收入5893.49万元；其他收入456.79万元。</w:t>
      </w:r>
    </w:p>
    <w:p>
      <w:pPr>
        <w:keepNext w:val="0"/>
        <w:keepLines w:val="0"/>
        <w:pageBreakBefore w:val="0"/>
        <w:widowControl/>
        <w:kinsoku/>
        <w:wordWrap/>
        <w:overflowPunct/>
        <w:topLinePunct w:val="0"/>
        <w:autoSpaceDE/>
        <w:autoSpaceDN/>
        <w:bidi w:val="0"/>
        <w:spacing w:line="500" w:lineRule="exact"/>
        <w:ind w:firstLine="600" w:firstLineChars="200"/>
        <w:jc w:val="left"/>
        <w:textAlignment w:val="auto"/>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全年支出决算数27065.09万元，其中：基本支出年度资金总额7348.28万元，项目支出年度资金总额19716.81万元</w:t>
      </w:r>
      <w:r>
        <w:rPr>
          <w:rFonts w:hint="eastAsia" w:ascii="仿宋_GB2312" w:hAnsi="仿宋_GB2312" w:eastAsia="仿宋_GB2312" w:cs="仿宋_GB2312"/>
          <w:i w:val="0"/>
          <w:iCs w:val="0"/>
          <w:caps w:val="0"/>
          <w:color w:val="000000" w:themeColor="text1"/>
          <w:spacing w:val="0"/>
          <w:sz w:val="30"/>
          <w:szCs w:val="30"/>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年度</w:t>
      </w:r>
      <w:r>
        <w:rPr>
          <w:rFonts w:hint="eastAsia" w:ascii="仿宋_GB2312" w:hAnsi="仿宋_GB2312" w:eastAsia="仿宋_GB2312" w:cs="仿宋_GB2312"/>
          <w:color w:val="000000" w:themeColor="text1"/>
          <w:sz w:val="30"/>
          <w:szCs w:val="30"/>
          <w:highlight w:val="none"/>
          <w14:textFill>
            <w14:solidFill>
              <w14:schemeClr w14:val="tx1"/>
            </w14:solidFill>
          </w14:textFill>
        </w:rPr>
        <w:t>一般公共预算财政拨款基本支出9472.88万元，其中：工资福利支出2808.44万元、商品和服务支出1701万元、对个人和家庭补助支出1084.23</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万</w:t>
      </w:r>
      <w:r>
        <w:rPr>
          <w:rFonts w:hint="eastAsia" w:ascii="仿宋_GB2312" w:hAnsi="仿宋_GB2312" w:eastAsia="仿宋_GB2312" w:cs="仿宋_GB2312"/>
          <w:color w:val="000000" w:themeColor="text1"/>
          <w:sz w:val="30"/>
          <w:szCs w:val="30"/>
          <w:highlight w:val="none"/>
          <w14:textFill>
            <w14:solidFill>
              <w14:schemeClr w14:val="tx1"/>
            </w14:solidFill>
          </w14:textFill>
        </w:rPr>
        <w:t>元、资本性支出3429.54万元</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债务利息及费用支出449.67万元</w:t>
      </w:r>
      <w:r>
        <w:rPr>
          <w:rFonts w:hint="eastAsia" w:ascii="仿宋_GB2312" w:hAnsi="仿宋_GB2312" w:eastAsia="仿宋_GB2312" w:cs="仿宋_GB2312"/>
          <w:color w:val="000000" w:themeColor="text1"/>
          <w:sz w:val="30"/>
          <w:szCs w:val="30"/>
          <w:highlight w:val="none"/>
          <w14:textFill>
            <w14:solidFill>
              <w14:schemeClr w14:val="tx1"/>
            </w14:solidFill>
          </w14:textFill>
        </w:rPr>
        <w:t>。</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学校</w:t>
      </w:r>
      <w:r>
        <w:rPr>
          <w:rFonts w:hint="eastAsia" w:ascii="仿宋_GB2312" w:hAnsi="仿宋_GB2312" w:eastAsia="仿宋_GB2312" w:cs="仿宋_GB2312"/>
          <w:color w:val="000000" w:themeColor="text1"/>
          <w:sz w:val="30"/>
          <w:szCs w:val="30"/>
          <w:highlight w:val="none"/>
          <w14:textFill>
            <w14:solidFill>
              <w14:schemeClr w14:val="tx1"/>
            </w14:solidFill>
          </w14:textFill>
        </w:rPr>
        <w:t>全年收支执行率</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0"/>
          <w:szCs w:val="30"/>
          <w:highlight w:val="none"/>
          <w14:textFill>
            <w14:solidFill>
              <w14:schemeClr w14:val="tx1"/>
            </w14:solidFill>
          </w14:textFill>
        </w:rPr>
        <w:t>%</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学校对于所有项目支出均设置了独立的项目明细账，严格按照各项目管理和核算要求进行财务核算。所有学校项目支出从立项到支出再到绩效考评井然有序，执行情况良好。学校制定了《预算</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管理制度</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》、《预算绩效管理办法》、《财务内部控制制度》、《收支结余管理制度》、《物资采购管理办法》、《专项资金管理暂行办法》、《科研项目资金管理办法》、《</w:t>
      </w:r>
      <w:r>
        <w:rPr>
          <w:rFonts w:hint="eastAsia" w:ascii="仿宋_GB2312" w:hAnsi="仿宋_GB2312" w:eastAsia="仿宋_GB2312" w:cs="仿宋_GB2312"/>
          <w:color w:val="000000" w:themeColor="text1"/>
          <w:sz w:val="30"/>
          <w:szCs w:val="30"/>
          <w:highlight w:val="none"/>
          <w14:textFill>
            <w14:solidFill>
              <w14:schemeClr w14:val="tx1"/>
            </w14:solidFill>
          </w14:textFill>
        </w:rPr>
        <w:t>付款审批制度</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highlight w:val="none"/>
          <w14:textFill>
            <w14:solidFill>
              <w14:schemeClr w14:val="tx1"/>
            </w14:solidFill>
          </w14:textFill>
        </w:rPr>
        <w:t>财务报销制度</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》等一系列规章制度来规范项目资金管理。</w:t>
      </w:r>
    </w:p>
    <w:p>
      <w:pPr>
        <w:pStyle w:val="5"/>
        <w:keepNext w:val="0"/>
        <w:keepLines w:val="0"/>
        <w:pageBreakBefore w:val="0"/>
        <w:shd w:val="clear" w:color="auto" w:fill="FFFFFF"/>
        <w:kinsoku/>
        <w:wordWrap/>
        <w:overflowPunct/>
        <w:topLinePunct w:val="0"/>
        <w:autoSpaceDE/>
        <w:autoSpaceDN/>
        <w:bidi w:val="0"/>
        <w:spacing w:line="500" w:lineRule="exact"/>
        <w:ind w:left="563" w:leftChars="268" w:firstLine="161" w:firstLineChars="50"/>
        <w:jc w:val="both"/>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二、</w:t>
      </w: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部门</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整体支出绩效实现情况</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2021年</w:t>
      </w:r>
      <w:r>
        <w:rPr>
          <w:rFonts w:hint="eastAsia" w:ascii="仿宋_GB2312" w:hAnsi="仿宋_GB2312" w:eastAsia="仿宋_GB2312" w:cs="仿宋_GB2312"/>
          <w:color w:val="000000" w:themeColor="text1"/>
          <w:sz w:val="30"/>
          <w:szCs w:val="30"/>
          <w14:textFill>
            <w14:solidFill>
              <w14:schemeClr w14:val="tx1"/>
            </w14:solidFill>
          </w14:textFill>
        </w:rPr>
        <w:t>，根据学校年初工作规划和重点工作，围绕上级部门的工作部署，积极履行职责，强化管理，较好地完成了年度工作目标，</w:t>
      </w:r>
      <w:r>
        <w:rPr>
          <w:rFonts w:hint="eastAsia" w:ascii="仿宋_GB2312" w:hAnsi="仿宋_GB2312" w:eastAsia="仿宋_GB2312" w:cs="仿宋_GB2312"/>
          <w:color w:val="000000" w:themeColor="text1"/>
          <w:sz w:val="30"/>
          <w:szCs w:val="30"/>
          <w:lang w:eastAsia="zh-CN"/>
          <w14:textFill>
            <w14:solidFill>
              <w14:schemeClr w14:val="tx1"/>
            </w14:solidFill>
          </w14:textFill>
        </w:rPr>
        <w:t>2021年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年</w:t>
      </w:r>
      <w:r>
        <w:rPr>
          <w:rFonts w:hint="eastAsia" w:ascii="仿宋_GB2312" w:hAnsi="仿宋_GB2312" w:eastAsia="仿宋_GB2312" w:cs="仿宋_GB2312"/>
          <w:color w:val="000000" w:themeColor="text1"/>
          <w:sz w:val="30"/>
          <w:szCs w:val="30"/>
          <w14:textFill>
            <w14:solidFill>
              <w14:schemeClr w14:val="tx1"/>
            </w14:solidFill>
          </w14:textFill>
        </w:rPr>
        <w:t>度部门整体支出绩效情况如下：</w:t>
      </w:r>
    </w:p>
    <w:p>
      <w:pPr>
        <w:keepNext w:val="0"/>
        <w:keepLines w:val="0"/>
        <w:pageBreakBefore w:val="0"/>
        <w:kinsoku/>
        <w:wordWrap/>
        <w:overflowPunct/>
        <w:topLinePunct w:val="0"/>
        <w:autoSpaceDE/>
        <w:autoSpaceDN/>
        <w:bidi w:val="0"/>
        <w:spacing w:line="500" w:lineRule="exact"/>
        <w:ind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（一）履职完成情况</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00" w:firstLineChars="200"/>
        <w:textAlignment w:val="auto"/>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2"/>
          <w:sz w:val="30"/>
          <w:szCs w:val="30"/>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kern w:val="2"/>
          <w:sz w:val="30"/>
          <w:szCs w:val="30"/>
          <w14:textFill>
            <w14:solidFill>
              <w14:schemeClr w14:val="tx1"/>
            </w14:solidFill>
          </w14:textFill>
        </w:rPr>
        <w:t>建立轮训</w:t>
      </w:r>
      <w:r>
        <w:rPr>
          <w:rFonts w:hint="eastAsia" w:ascii="仿宋_GB2312" w:hAnsi="仿宋_GB2312" w:eastAsia="仿宋_GB2312" w:cs="仿宋_GB2312"/>
          <w:b w:val="0"/>
          <w:bCs w:val="0"/>
          <w:color w:val="000000" w:themeColor="text1"/>
          <w:kern w:val="2"/>
          <w:sz w:val="30"/>
          <w:szCs w:val="30"/>
          <w:lang w:val="en-US" w:eastAsia="zh-CN"/>
          <w14:textFill>
            <w14:solidFill>
              <w14:schemeClr w14:val="tx1"/>
            </w14:solidFill>
          </w14:textFill>
        </w:rPr>
        <w:t>学习</w:t>
      </w:r>
      <w:r>
        <w:rPr>
          <w:rFonts w:hint="eastAsia" w:ascii="仿宋_GB2312" w:hAnsi="仿宋_GB2312" w:eastAsia="仿宋_GB2312" w:cs="仿宋_GB2312"/>
          <w:b w:val="0"/>
          <w:bCs w:val="0"/>
          <w:color w:val="000000" w:themeColor="text1"/>
          <w:kern w:val="2"/>
          <w:sz w:val="30"/>
          <w:szCs w:val="30"/>
          <w14:textFill>
            <w14:solidFill>
              <w14:schemeClr w14:val="tx1"/>
            </w14:solidFill>
          </w14:textFill>
        </w:rPr>
        <w:t>制度，推进骨干积极培训</w:t>
      </w:r>
      <w:r>
        <w:rPr>
          <w:rFonts w:hint="eastAsia" w:ascii="仿宋_GB2312" w:hAnsi="仿宋_GB2312" w:eastAsia="仿宋_GB2312" w:cs="仿宋_GB2312"/>
          <w:b w:val="0"/>
          <w:bCs w:val="0"/>
          <w:color w:val="000000" w:themeColor="text1"/>
          <w:kern w:val="2"/>
          <w:sz w:val="30"/>
          <w:szCs w:val="30"/>
          <w:lang w:eastAsia="zh-CN"/>
          <w14:textFill>
            <w14:solidFill>
              <w14:schemeClr w14:val="tx1"/>
            </w14:solidFill>
          </w14:textFill>
        </w:rPr>
        <w:t>。积极组织开展学院教师培训工作，针对教师不同的发展阶段、专业背景、个体特点等因素，组织了信息化教训能力提升、课程思政建设、赛教融合、三教改革、精品在线课程建设、提质培优行动计划提升及培训者能力提升等7个专题的线上培训；不断为学院教师搭建信息化学习平台，建立了校本教师线上培训课程，完成了2期线上培训，组织教师参加G10联盟公益教学7期线上直播学习及超星学习通直播讲堂“教学创新”主题及第八季“教学创新经验成果分享”主题共26期的学习；完成</w:t>
      </w:r>
      <w:r>
        <w:rPr>
          <w:rFonts w:hint="eastAsia" w:ascii="仿宋_GB2312" w:hAnsi="仿宋_GB2312" w:eastAsia="仿宋_GB2312" w:cs="仿宋_GB2312"/>
          <w:b w:val="0"/>
          <w:bCs w:val="0"/>
          <w:color w:val="000000" w:themeColor="text1"/>
          <w:kern w:val="2"/>
          <w:sz w:val="30"/>
          <w:szCs w:val="30"/>
          <w:lang w:val="en-US" w:eastAsia="zh-CN"/>
          <w14:textFill>
            <w14:solidFill>
              <w14:schemeClr w14:val="tx1"/>
            </w14:solidFill>
          </w14:textFill>
        </w:rPr>
        <w:t>2021</w:t>
      </w:r>
      <w:r>
        <w:rPr>
          <w:rFonts w:hint="eastAsia" w:ascii="仿宋_GB2312" w:hAnsi="仿宋_GB2312" w:eastAsia="仿宋_GB2312" w:cs="仿宋_GB2312"/>
          <w:b w:val="0"/>
          <w:bCs w:val="0"/>
          <w:color w:val="000000" w:themeColor="text1"/>
          <w:kern w:val="2"/>
          <w:sz w:val="30"/>
          <w:szCs w:val="30"/>
          <w:lang w:eastAsia="zh-CN"/>
          <w14:textFill>
            <w14:solidFill>
              <w14:schemeClr w14:val="tx1"/>
            </w14:solidFill>
          </w14:textFill>
        </w:rPr>
        <w:t>年度国培项目相关线下及线上培训工作。基本实现教师培训的整体覆盖和全面监督，并坚持把立德树人、思政教育融入培训全过程。</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b w:val="0"/>
          <w:bCs w:val="0"/>
          <w:color w:val="000000" w:themeColor="text1"/>
          <w:kern w:val="2"/>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2、不断提升教师教学能力，取得了丰硕的教学成果。</w:t>
      </w:r>
      <w:r>
        <w:rPr>
          <w:rFonts w:hint="eastAsia" w:ascii="仿宋_GB2312" w:hAnsi="仿宋_GB2312" w:eastAsia="仿宋_GB2312" w:cs="仿宋_GB2312"/>
          <w:color w:val="000000" w:themeColor="text1"/>
          <w:kern w:val="2"/>
          <w:sz w:val="30"/>
          <w:szCs w:val="30"/>
          <w14:textFill>
            <w14:solidFill>
              <w14:schemeClr w14:val="tx1"/>
            </w14:solidFill>
          </w14:textFill>
        </w:rPr>
        <w:t>依据“三全育人”理念指导，通过专题讲座、主题学习、榜样示范引领、典型案例分析、研讨交流等开展全院教师师德师风建设及德育意识渗透；通过线上线下、各级各类专题培训及技术技能培训，提高教师教书育人、教学实践能力；积极组织教师个人、团队、教师带领学生参加各项技能比赛，完成了2021江西省职业院校技能大赛教学能力比赛校赛选拔工作，遴选了4支教师团队代表学院参加江西省省高职组比赛，1支教师团队参加中职组比赛，高职组获得两个三等奖，中职组获得二等奖；组织举行了2021年我院青年教师“五项全能”比赛，评选出1个一等奖、3个二等奖、6个人三等奖。</w:t>
      </w:r>
      <w:r>
        <w:rPr>
          <w:rFonts w:hint="eastAsia" w:ascii="仿宋_GB2312" w:hAnsi="仿宋_GB2312" w:eastAsia="仿宋_GB2312" w:cs="仿宋_GB2312"/>
          <w:color w:val="000000" w:themeColor="text1"/>
          <w:kern w:val="2"/>
          <w:sz w:val="30"/>
          <w:szCs w:val="30"/>
          <w:lang w:val="en-US" w:eastAsia="zh-CN"/>
          <w14:textFill>
            <w14:solidFill>
              <w14:schemeClr w14:val="tx1"/>
            </w14:solidFill>
          </w14:textFill>
        </w:rPr>
        <w:t>参加全国职业院校专业教学能力比赛二等奖1名，在</w:t>
      </w:r>
      <w:r>
        <w:rPr>
          <w:rFonts w:hint="eastAsia" w:ascii="仿宋_GB2312" w:hAnsi="仿宋_GB2312" w:eastAsia="仿宋_GB2312" w:cs="仿宋_GB2312"/>
          <w:color w:val="000000" w:themeColor="text1"/>
          <w:kern w:val="2"/>
          <w:sz w:val="30"/>
          <w:szCs w:val="30"/>
          <w14:textFill>
            <w14:solidFill>
              <w14:schemeClr w14:val="tx1"/>
            </w14:solidFill>
          </w14:textFill>
        </w:rPr>
        <w:t>护理竞赛、养老护理员技能竞赛、健康与社会照护竞赛、养老服务技能竞赛、中药行业职业技能竞赛等各专业技能比赛</w:t>
      </w:r>
      <w:r>
        <w:rPr>
          <w:rFonts w:hint="eastAsia" w:ascii="仿宋_GB2312" w:hAnsi="仿宋_GB2312" w:eastAsia="仿宋_GB2312" w:cs="仿宋_GB2312"/>
          <w:color w:val="000000" w:themeColor="text1"/>
          <w:kern w:val="2"/>
          <w:sz w:val="30"/>
          <w:szCs w:val="30"/>
          <w:lang w:val="en-US" w:eastAsia="zh-CN"/>
          <w14:textFill>
            <w14:solidFill>
              <w14:schemeClr w14:val="tx1"/>
            </w14:solidFill>
          </w14:textFill>
        </w:rPr>
        <w:t>中，多名教师获得第一、二、三等奖</w:t>
      </w:r>
      <w:r>
        <w:rPr>
          <w:rFonts w:hint="eastAsia" w:ascii="仿宋_GB2312" w:hAnsi="仿宋_GB2312" w:eastAsia="仿宋_GB2312" w:cs="仿宋_GB2312"/>
          <w:color w:val="000000" w:themeColor="text1"/>
          <w:kern w:val="2"/>
          <w:sz w:val="30"/>
          <w:szCs w:val="30"/>
          <w14:textFill>
            <w14:solidFill>
              <w14:schemeClr w14:val="tx1"/>
            </w14:solidFill>
          </w14:textFill>
        </w:rPr>
        <w:t>。</w:t>
      </w:r>
      <w:r>
        <w:rPr>
          <w:rFonts w:hint="eastAsia" w:ascii="仿宋_GB2312" w:hAnsi="仿宋_GB2312" w:eastAsia="仿宋_GB2312" w:cs="仿宋_GB2312"/>
          <w:color w:val="000000" w:themeColor="text1"/>
          <w:kern w:val="2"/>
          <w:sz w:val="30"/>
          <w:szCs w:val="30"/>
          <w:lang w:val="en-US" w:eastAsia="zh-CN"/>
          <w14:textFill>
            <w14:solidFill>
              <w14:schemeClr w14:val="tx1"/>
            </w14:solidFill>
          </w14:textFill>
        </w:rPr>
        <w:t>教师年度</w:t>
      </w:r>
      <w:r>
        <w:rPr>
          <w:rFonts w:hint="eastAsia" w:ascii="仿宋_GB2312" w:hAnsi="仿宋_GB2312" w:eastAsia="仿宋_GB2312" w:cs="仿宋_GB2312"/>
          <w:color w:val="000000" w:themeColor="text1"/>
          <w:sz w:val="30"/>
          <w:szCs w:val="30"/>
          <w14:textFill>
            <w14:solidFill>
              <w14:schemeClr w14:val="tx1"/>
            </w14:solidFill>
          </w14:textFill>
        </w:rPr>
        <w:t>立项省级教育教学课题项目</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共计20</w:t>
      </w:r>
      <w:r>
        <w:rPr>
          <w:rFonts w:hint="eastAsia" w:ascii="仿宋_GB2312" w:hAnsi="仿宋_GB2312" w:eastAsia="仿宋_GB2312" w:cs="仿宋_GB2312"/>
          <w:color w:val="000000" w:themeColor="text1"/>
          <w:sz w:val="30"/>
          <w:szCs w:val="30"/>
          <w14:textFill>
            <w14:solidFill>
              <w14:schemeClr w14:val="tx1"/>
            </w14:solidFill>
          </w14:textFill>
        </w:rPr>
        <w:t>项</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00" w:firstLineChars="200"/>
        <w:textAlignment w:val="auto"/>
        <w:rPr>
          <w:rFonts w:hint="eastAsia" w:ascii="仿宋_GB2312" w:hAnsi="仿宋_GB2312" w:eastAsia="仿宋_GB2312" w:cs="仿宋_GB2312"/>
          <w:color w:val="000000" w:themeColor="text1"/>
          <w:kern w:val="2"/>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0"/>
          <w:szCs w:val="30"/>
          <w:lang w:val="en-US" w:eastAsia="zh-CN"/>
          <w14:textFill>
            <w14:solidFill>
              <w14:schemeClr w14:val="tx1"/>
            </w14:solidFill>
          </w14:textFill>
        </w:rPr>
        <w:t>学校还根</w:t>
      </w:r>
      <w:r>
        <w:rPr>
          <w:rFonts w:hint="eastAsia" w:ascii="仿宋_GB2312" w:hAnsi="仿宋_GB2312" w:eastAsia="仿宋_GB2312" w:cs="仿宋_GB2312"/>
          <w:color w:val="000000" w:themeColor="text1"/>
          <w:sz w:val="30"/>
          <w:szCs w:val="30"/>
          <w14:textFill>
            <w14:solidFill>
              <w14:schemeClr w14:val="tx1"/>
            </w14:solidFill>
          </w14:textFill>
        </w:rPr>
        <w:t>据《萍乡卫生职业学院提质培优行动计划方案》中在线开放课程建设任务要求，开展了在线开放课程培育活动。活动邀请省级在线开放课程建设资源库专家到校培训和指导，经过校内外专家评审，共计11门课程评选为校级在线开放课程，其中6门课程为重点建设课程，所有课程将申报2022年省级在线开放课程。</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3、不断提升人才培养质量。组织学生参加专业技能竞赛，获</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得</w:t>
      </w:r>
      <w:r>
        <w:rPr>
          <w:rFonts w:hint="eastAsia" w:ascii="仿宋_GB2312" w:hAnsi="仿宋_GB2312" w:eastAsia="仿宋_GB2312" w:cs="仿宋_GB2312"/>
          <w:color w:val="000000" w:themeColor="text1"/>
          <w:sz w:val="30"/>
          <w:szCs w:val="30"/>
          <w14:textFill>
            <w14:solidFill>
              <w14:schemeClr w14:val="tx1"/>
            </w14:solidFill>
          </w14:textFill>
        </w:rPr>
        <w:t>省级以上比赛</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一等奖1名，</w:t>
      </w:r>
      <w:r>
        <w:rPr>
          <w:rFonts w:hint="eastAsia" w:ascii="仿宋_GB2312" w:hAnsi="仿宋_GB2312" w:eastAsia="仿宋_GB2312" w:cs="仿宋_GB2312"/>
          <w:color w:val="000000" w:themeColor="text1"/>
          <w:sz w:val="30"/>
          <w:szCs w:val="30"/>
          <w14:textFill>
            <w14:solidFill>
              <w14:schemeClr w14:val="tx1"/>
            </w14:solidFill>
          </w14:textFill>
        </w:rPr>
        <w:t>二等奖</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r>
        <w:rPr>
          <w:rFonts w:hint="eastAsia" w:ascii="仿宋_GB2312" w:hAnsi="仿宋_GB2312" w:eastAsia="仿宋_GB2312" w:cs="仿宋_GB2312"/>
          <w:color w:val="000000" w:themeColor="text1"/>
          <w:sz w:val="30"/>
          <w:szCs w:val="30"/>
          <w14:textFill>
            <w14:solidFill>
              <w14:schemeClr w14:val="tx1"/>
            </w14:solidFill>
          </w14:textFill>
        </w:rPr>
        <w:t>项，三等奖</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4名</w:t>
      </w:r>
      <w:r>
        <w:rPr>
          <w:rFonts w:hint="eastAsia" w:ascii="仿宋_GB2312" w:hAnsi="仿宋_GB2312" w:eastAsia="仿宋_GB2312" w:cs="仿宋_GB2312"/>
          <w:color w:val="000000" w:themeColor="text1"/>
          <w:sz w:val="30"/>
          <w:szCs w:val="30"/>
          <w14:textFill>
            <w14:solidFill>
              <w14:schemeClr w14:val="tx1"/>
            </w14:solidFill>
          </w14:textFill>
        </w:rPr>
        <w:t>；学校承办</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了</w:t>
      </w:r>
      <w:r>
        <w:rPr>
          <w:rFonts w:hint="eastAsia" w:ascii="仿宋_GB2312" w:hAnsi="仿宋_GB2312" w:eastAsia="仿宋_GB2312" w:cs="仿宋_GB2312"/>
          <w:color w:val="000000" w:themeColor="text1"/>
          <w:sz w:val="30"/>
          <w:szCs w:val="30"/>
          <w14:textFill>
            <w14:solidFill>
              <w14:schemeClr w14:val="tx1"/>
            </w14:solidFill>
          </w14:textFill>
        </w:rPr>
        <w:t>全市职业院校学生技能大赛，其中学生在</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振兴杯首届养老护理职业技能大赛中分别获得</w:t>
      </w:r>
      <w:r>
        <w:rPr>
          <w:rFonts w:hint="eastAsia" w:ascii="仿宋_GB2312" w:hAnsi="仿宋_GB2312" w:eastAsia="仿宋_GB2312" w:cs="仿宋_GB2312"/>
          <w:color w:val="000000" w:themeColor="text1"/>
          <w:sz w:val="30"/>
          <w:szCs w:val="30"/>
          <w14:textFill>
            <w14:solidFill>
              <w14:schemeClr w14:val="tx1"/>
            </w14:solidFill>
          </w14:textFill>
        </w:rPr>
        <w:t>市级一等奖</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1名</w:t>
      </w:r>
      <w:r>
        <w:rPr>
          <w:rFonts w:hint="eastAsia" w:ascii="仿宋_GB2312" w:hAnsi="仿宋_GB2312" w:eastAsia="仿宋_GB2312" w:cs="仿宋_GB2312"/>
          <w:color w:val="000000" w:themeColor="text1"/>
          <w:sz w:val="30"/>
          <w:szCs w:val="30"/>
          <w14:textFill>
            <w14:solidFill>
              <w14:schemeClr w14:val="tx1"/>
            </w14:solidFill>
          </w14:textFill>
        </w:rPr>
        <w:t>，二等奖</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2名，三等奖3名，在市教育局组织的2021年度大中小学规范书写比赛中，多名学生获得了全市第一、二、三等奖，同时，我校也荣获了市级“优秀组织”奖</w:t>
      </w:r>
      <w:r>
        <w:rPr>
          <w:rFonts w:hint="eastAsia" w:ascii="仿宋_GB2312" w:hAnsi="仿宋_GB2312" w:eastAsia="仿宋_GB2312" w:cs="仿宋_GB2312"/>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4、新生录取率稳步提升，工作迈上“新台阶”。</w:t>
      </w:r>
      <w:r>
        <w:rPr>
          <w:rFonts w:hint="eastAsia" w:ascii="仿宋_GB2312" w:hAnsi="仿宋_GB2312" w:eastAsia="仿宋_GB2312" w:cs="仿宋_GB2312"/>
          <w:color w:val="000000" w:themeColor="text1"/>
          <w:sz w:val="30"/>
          <w:szCs w:val="30"/>
          <w:lang w:eastAsia="zh-CN"/>
          <w14:textFill>
            <w14:solidFill>
              <w14:schemeClr w14:val="tx1"/>
            </w14:solidFill>
          </w14:textFill>
        </w:rPr>
        <w:t>2021年</w:t>
      </w:r>
      <w:r>
        <w:rPr>
          <w:rFonts w:hint="eastAsia" w:ascii="仿宋_GB2312" w:hAnsi="仿宋_GB2312" w:eastAsia="仿宋_GB2312" w:cs="仿宋_GB2312"/>
          <w:color w:val="000000" w:themeColor="text1"/>
          <w:sz w:val="30"/>
          <w:szCs w:val="30"/>
          <w14:textFill>
            <w14:solidFill>
              <w14:schemeClr w14:val="tx1"/>
            </w14:solidFill>
          </w14:textFill>
        </w:rPr>
        <w:t>共招收全日制新生</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5162</w:t>
      </w:r>
      <w:r>
        <w:rPr>
          <w:rFonts w:hint="eastAsia" w:ascii="仿宋_GB2312" w:hAnsi="仿宋_GB2312" w:eastAsia="仿宋_GB2312" w:cs="仿宋_GB2312"/>
          <w:color w:val="000000" w:themeColor="text1"/>
          <w:sz w:val="30"/>
          <w:szCs w:val="30"/>
          <w14:textFill>
            <w14:solidFill>
              <w14:schemeClr w14:val="tx1"/>
            </w14:solidFill>
          </w14:textFill>
        </w:rPr>
        <w:t>人（其中高职</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3359</w:t>
      </w:r>
      <w:r>
        <w:rPr>
          <w:rFonts w:hint="eastAsia" w:ascii="仿宋_GB2312" w:hAnsi="仿宋_GB2312" w:eastAsia="仿宋_GB2312" w:cs="仿宋_GB2312"/>
          <w:color w:val="000000" w:themeColor="text1"/>
          <w:sz w:val="30"/>
          <w:szCs w:val="30"/>
          <w14:textFill>
            <w14:solidFill>
              <w14:schemeClr w14:val="tx1"/>
            </w14:solidFill>
          </w14:textFill>
        </w:rPr>
        <w:t>人，中职</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1803</w:t>
      </w:r>
      <w:r>
        <w:rPr>
          <w:rFonts w:hint="eastAsia" w:ascii="仿宋_GB2312" w:hAnsi="仿宋_GB2312" w:eastAsia="仿宋_GB2312" w:cs="仿宋_GB2312"/>
          <w:color w:val="000000" w:themeColor="text1"/>
          <w:sz w:val="30"/>
          <w:szCs w:val="30"/>
          <w14:textFill>
            <w14:solidFill>
              <w14:schemeClr w14:val="tx1"/>
            </w14:solidFill>
          </w14:textFill>
        </w:rPr>
        <w:t>人），超额完成了学校年初下达的招生任务。</w:t>
      </w:r>
    </w:p>
    <w:p>
      <w:pPr>
        <w:keepNext w:val="0"/>
        <w:keepLines w:val="0"/>
        <w:pageBreakBefore w:val="0"/>
        <w:widowControl w:val="0"/>
        <w:numPr>
          <w:ilvl w:val="0"/>
          <w:numId w:val="0"/>
        </w:numPr>
        <w:kinsoku/>
        <w:wordWrap/>
        <w:overflowPunct/>
        <w:topLinePunct w:val="0"/>
        <w:autoSpaceDE/>
        <w:autoSpaceDN/>
        <w:bidi w:val="0"/>
        <w:snapToGrid/>
        <w:spacing w:line="500" w:lineRule="exact"/>
        <w:ind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5、精心细致做好</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创业</w:t>
      </w:r>
      <w:r>
        <w:rPr>
          <w:rFonts w:hint="eastAsia" w:ascii="仿宋_GB2312" w:hAnsi="仿宋_GB2312" w:eastAsia="仿宋_GB2312" w:cs="仿宋_GB2312"/>
          <w:color w:val="000000" w:themeColor="text1"/>
          <w:sz w:val="30"/>
          <w:szCs w:val="30"/>
          <w14:textFill>
            <w14:solidFill>
              <w14:schemeClr w14:val="tx1"/>
            </w14:solidFill>
          </w14:textFill>
        </w:rPr>
        <w:t>就业工作，</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学院高度重视创新创业工作，制定了《萍乡卫生职业学院创新创业工作管理办法》、《萍乡卫生职业学院大学生创新创业激励基金管理办法》、《萍乡卫生职业学院助力企业复工复产推动江西高质量发展“百校行”活动实施方案》。在组织开展大学生创新创业竞赛活动方面，我学院积极响应国家“大众创业、万众创新”的号召。在江西省第七届“互联网+ ”大学生创新创业大赛萍乡卫生职业学院校赛中，</w:t>
      </w:r>
      <w:r>
        <w:rPr>
          <w:rFonts w:hint="eastAsia" w:ascii="仿宋_GB2312" w:hAnsi="仿宋_GB2312" w:eastAsia="仿宋_GB2312" w:cs="仿宋_GB2312"/>
          <w:color w:val="000000" w:themeColor="text1"/>
          <w:sz w:val="30"/>
          <w:szCs w:val="30"/>
          <w14:textFill>
            <w14:solidFill>
              <w14:schemeClr w14:val="tx1"/>
            </w14:solidFill>
          </w14:textFill>
        </w:rPr>
        <w:t>成功晋级省级决赛，荣获银奖。</w:t>
      </w: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6、创新数字资源建设模式，增加网络教学资源。</w:t>
      </w:r>
      <w:r>
        <w:rPr>
          <w:rFonts w:hint="eastAsia" w:ascii="仿宋_GB2312" w:hAnsi="仿宋_GB2312" w:eastAsia="仿宋_GB2312" w:cs="仿宋_GB2312"/>
          <w:color w:val="000000" w:themeColor="text1"/>
          <w:sz w:val="30"/>
          <w:szCs w:val="30"/>
          <w14:textFill>
            <w14:solidFill>
              <w14:schemeClr w14:val="tx1"/>
            </w14:solidFill>
          </w14:textFill>
        </w:rPr>
        <w:t>学校</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本年度新增了</w:t>
      </w:r>
      <w:r>
        <w:rPr>
          <w:rFonts w:hint="eastAsia" w:ascii="仿宋_GB2312" w:hAnsi="仿宋_GB2312" w:eastAsia="仿宋_GB2312" w:cs="仿宋_GB2312"/>
          <w:color w:val="000000" w:themeColor="text1"/>
          <w:sz w:val="30"/>
          <w:szCs w:val="30"/>
          <w14:textFill>
            <w14:solidFill>
              <w14:schemeClr w14:val="tx1"/>
            </w14:solidFill>
          </w14:textFill>
        </w:rPr>
        <w:t>超星尔雅通识选修课平台，课程数量超过400门，该平台课程按照高校课程的标准设计制作，课程全部来自国内名校名师</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开设了《</w:t>
      </w: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"http://mooc1.chaoxing.com/course/219702364.html" \t "http://ananas.mooc1.chaoxing.com/coursemanage/_blank"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0"/>
          <w:szCs w:val="30"/>
          <w14:textFill>
            <w14:solidFill>
              <w14:schemeClr w14:val="tx1"/>
            </w14:solidFill>
          </w14:textFill>
        </w:rPr>
        <w:t>新中国史</w:t>
      </w:r>
      <w:r>
        <w:rPr>
          <w:rFonts w:hint="eastAsia" w:ascii="仿宋_GB2312" w:hAnsi="仿宋_GB2312" w:eastAsia="仿宋_GB2312" w:cs="仿宋_GB2312"/>
          <w:color w:val="000000" w:themeColor="text1"/>
          <w:sz w:val="30"/>
          <w:szCs w:val="30"/>
          <w14:textFill>
            <w14:solidFill>
              <w14:schemeClr w14:val="tx1"/>
            </w14:solidFill>
          </w14:textFill>
        </w:rPr>
        <w:fldChar w:fldCharType="end"/>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"http://mooc1.chaoxing.com/course/219702375.html" \t "http://ananas.mooc1.chaoxing.com/coursemanage/_blank"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0"/>
          <w:szCs w:val="30"/>
          <w14:textFill>
            <w14:solidFill>
              <w14:schemeClr w14:val="tx1"/>
            </w14:solidFill>
          </w14:textFill>
        </w:rPr>
        <w:t>新青年·习党史</w:t>
      </w:r>
      <w:r>
        <w:rPr>
          <w:rFonts w:hint="eastAsia" w:ascii="仿宋_GB2312" w:hAnsi="仿宋_GB2312" w:eastAsia="仿宋_GB2312" w:cs="仿宋_GB2312"/>
          <w:color w:val="000000" w:themeColor="text1"/>
          <w:sz w:val="30"/>
          <w:szCs w:val="30"/>
          <w14:textFill>
            <w14:solidFill>
              <w14:schemeClr w14:val="tx1"/>
            </w14:solidFill>
          </w14:textFill>
        </w:rPr>
        <w:fldChar w:fldCharType="end"/>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"http://mooc1.chaoxing.com/course/219702367.html" \t "http://ananas.mooc1.chaoxing.com/coursemanage/_blank"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0"/>
          <w:szCs w:val="30"/>
          <w14:textFill>
            <w14:solidFill>
              <w14:schemeClr w14:val="tx1"/>
            </w14:solidFill>
          </w14:textFill>
        </w:rPr>
        <w:t>大学启示录：如何读大学？</w:t>
      </w:r>
      <w:r>
        <w:rPr>
          <w:rFonts w:hint="eastAsia" w:ascii="仿宋_GB2312" w:hAnsi="仿宋_GB2312" w:eastAsia="仿宋_GB2312" w:cs="仿宋_GB2312"/>
          <w:color w:val="000000" w:themeColor="text1"/>
          <w:sz w:val="30"/>
          <w:szCs w:val="30"/>
          <w14:textFill>
            <w14:solidFill>
              <w14:schemeClr w14:val="tx1"/>
            </w14:solidFill>
          </w14:textFill>
        </w:rPr>
        <w:fldChar w:fldCharType="end"/>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"http://mooc1.chaoxing.com/course/219702369.html" \t "http://ananas.mooc1.chaoxing.com/coursemanage/_blank"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0"/>
          <w:szCs w:val="30"/>
          <w14:textFill>
            <w14:solidFill>
              <w14:schemeClr w14:val="tx1"/>
            </w14:solidFill>
          </w14:textFill>
        </w:rPr>
        <w:t>大学生涯规划与职业发展</w:t>
      </w:r>
      <w:r>
        <w:rPr>
          <w:rFonts w:hint="eastAsia" w:ascii="仿宋_GB2312" w:hAnsi="仿宋_GB2312" w:eastAsia="仿宋_GB2312" w:cs="仿宋_GB2312"/>
          <w:color w:val="000000" w:themeColor="text1"/>
          <w:sz w:val="30"/>
          <w:szCs w:val="30"/>
          <w14:textFill>
            <w14:solidFill>
              <w14:schemeClr w14:val="tx1"/>
            </w14:solidFill>
          </w14:textFill>
        </w:rPr>
        <w:fldChar w:fldCharType="end"/>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"http://mooc1.chaoxing.com/course/219702370.html" \t "http://ananas.mooc1.chaoxing.com/coursemanage/_blank"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0"/>
          <w:szCs w:val="30"/>
          <w14:textFill>
            <w14:solidFill>
              <w14:schemeClr w14:val="tx1"/>
            </w14:solidFill>
          </w14:textFill>
        </w:rPr>
        <w:t>改革开放史</w:t>
      </w:r>
      <w:r>
        <w:rPr>
          <w:rFonts w:hint="eastAsia" w:ascii="仿宋_GB2312" w:hAnsi="仿宋_GB2312" w:eastAsia="仿宋_GB2312" w:cs="仿宋_GB2312"/>
          <w:color w:val="000000" w:themeColor="text1"/>
          <w:sz w:val="30"/>
          <w:szCs w:val="30"/>
          <w14:textFill>
            <w14:solidFill>
              <w14:schemeClr w14:val="tx1"/>
            </w14:solidFill>
          </w14:textFill>
        </w:rPr>
        <w:fldChar w:fldCharType="end"/>
      </w:r>
      <w:r>
        <w:rPr>
          <w:rFonts w:hint="eastAsia" w:ascii="仿宋_GB2312" w:hAnsi="仿宋_GB2312" w:eastAsia="仿宋_GB2312" w:cs="仿宋_GB2312"/>
          <w:color w:val="000000" w:themeColor="text1"/>
          <w:sz w:val="30"/>
          <w:szCs w:val="30"/>
          <w14:textFill>
            <w14:solidFill>
              <w14:schemeClr w14:val="tx1"/>
            </w14:solidFill>
          </w14:textFill>
        </w:rPr>
        <w:t>》、《大学生涯规划与职业发展》、《国学智慧》等21门选修课，选课总计达3万余人次。</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7、</w:t>
      </w:r>
      <w:r>
        <w:rPr>
          <w:rFonts w:hint="eastAsia" w:ascii="仿宋_GB2312" w:hAnsi="仿宋_GB2312" w:eastAsia="仿宋_GB2312" w:cs="仿宋_GB2312"/>
          <w:color w:val="000000" w:themeColor="text1"/>
          <w:sz w:val="30"/>
          <w:szCs w:val="30"/>
          <w14:textFill>
            <w14:solidFill>
              <w14:schemeClr w14:val="tx1"/>
            </w14:solidFill>
          </w14:textFill>
        </w:rPr>
        <w:t>进一步加强财务管理、资产管理与</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内控</w:t>
      </w:r>
      <w:r>
        <w:rPr>
          <w:rFonts w:hint="eastAsia" w:ascii="仿宋_GB2312" w:hAnsi="仿宋_GB2312" w:eastAsia="仿宋_GB2312" w:cs="仿宋_GB2312"/>
          <w:color w:val="000000" w:themeColor="text1"/>
          <w:sz w:val="30"/>
          <w:szCs w:val="30"/>
          <w14:textFill>
            <w14:solidFill>
              <w14:schemeClr w14:val="tx1"/>
            </w14:solidFill>
          </w14:textFill>
        </w:rPr>
        <w:t>工作。科学编制财务预算，积极筹措经费，加强收入管理，严控“三公”经费和行政经费增长，优化资源配置，完善财务制度，规范财务管理，财务核算工作进一步加强，财务监督职能进一步强化。认真做好学校内部控制报告的编制，持续加强内部控制建设。国有资产管理进一步规范，充分运用资产管理信息系统，做好资产管理日常验收、登记、录入、调拨、处置工作，全年新增固定资产</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1941.62</w:t>
      </w:r>
      <w:r>
        <w:rPr>
          <w:rFonts w:hint="eastAsia" w:ascii="仿宋_GB2312" w:hAnsi="仿宋_GB2312" w:eastAsia="仿宋_GB2312" w:cs="仿宋_GB2312"/>
          <w:color w:val="000000" w:themeColor="text1"/>
          <w:sz w:val="30"/>
          <w:szCs w:val="30"/>
          <w14:textFill>
            <w14:solidFill>
              <w14:schemeClr w14:val="tx1"/>
            </w14:solidFill>
          </w14:textFill>
        </w:rPr>
        <w:t>万元</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并</w:t>
      </w:r>
      <w:r>
        <w:rPr>
          <w:rFonts w:hint="eastAsia" w:ascii="仿宋_GB2312" w:hAnsi="仿宋_GB2312" w:eastAsia="仿宋_GB2312" w:cs="仿宋_GB2312"/>
          <w:color w:val="000000" w:themeColor="text1"/>
          <w:sz w:val="30"/>
          <w:szCs w:val="30"/>
          <w14:textFill>
            <w14:solidFill>
              <w14:schemeClr w14:val="tx1"/>
            </w14:solidFill>
          </w14:textFill>
        </w:rPr>
        <w:t>完成2021年全校拟新增资产的配置计划申报工作。</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w:t>
      </w:r>
      <w:r>
        <w:rPr>
          <w:rFonts w:hint="eastAsia" w:ascii="仿宋_GB2312" w:hAnsi="仿宋_GB2312" w:eastAsia="仿宋_GB2312" w:cs="仿宋_GB2312"/>
          <w:color w:val="000000" w:themeColor="text1"/>
          <w:sz w:val="30"/>
          <w:szCs w:val="30"/>
          <w14:textFill>
            <w14:solidFill>
              <w14:schemeClr w14:val="tx1"/>
            </w14:solidFill>
          </w14:textFill>
        </w:rPr>
        <w:t>学校始终把严控“三公经费”作为从严治校、正风肃纪的重要工作来抓。严格执行因公出国（境）、公务接待和公务用车购置及运行维护政策规定，学校“三公经费”得到有效控制，</w:t>
      </w:r>
      <w:r>
        <w:rPr>
          <w:rFonts w:hint="eastAsia" w:ascii="仿宋_GB2312" w:hAnsi="仿宋_GB2312" w:eastAsia="仿宋_GB2312" w:cs="仿宋_GB2312"/>
          <w:color w:val="000000" w:themeColor="text1"/>
          <w:sz w:val="30"/>
          <w:szCs w:val="30"/>
          <w:lang w:eastAsia="zh-CN"/>
          <w14:textFill>
            <w14:solidFill>
              <w14:schemeClr w14:val="tx1"/>
            </w14:solidFill>
          </w14:textFill>
        </w:rPr>
        <w:t>2021年</w:t>
      </w:r>
      <w:r>
        <w:rPr>
          <w:rFonts w:hint="eastAsia" w:ascii="仿宋_GB2312" w:hAnsi="仿宋_GB2312" w:eastAsia="仿宋_GB2312" w:cs="仿宋_GB2312"/>
          <w:color w:val="000000" w:themeColor="text1"/>
          <w:sz w:val="30"/>
          <w:szCs w:val="30"/>
          <w14:textFill>
            <w14:solidFill>
              <w14:schemeClr w14:val="tx1"/>
            </w14:solidFill>
          </w14:textFill>
        </w:rPr>
        <w:t xml:space="preserve">没有因公出国（境）费支出；公务接待费 </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3.08万元</w:t>
      </w:r>
      <w:r>
        <w:rPr>
          <w:rFonts w:hint="eastAsia" w:ascii="仿宋_GB2312" w:hAnsi="仿宋_GB2312" w:eastAsia="仿宋_GB2312" w:cs="仿宋_GB2312"/>
          <w:color w:val="000000" w:themeColor="text1"/>
          <w:sz w:val="30"/>
          <w:szCs w:val="30"/>
          <w14:textFill>
            <w14:solidFill>
              <w14:schemeClr w14:val="tx1"/>
            </w14:solidFill>
          </w14:textFill>
        </w:rPr>
        <w:t>4.03万元,比去年减少</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0.95</w:t>
      </w:r>
      <w:r>
        <w:rPr>
          <w:rFonts w:hint="eastAsia" w:ascii="仿宋_GB2312" w:hAnsi="仿宋_GB2312" w:eastAsia="仿宋_GB2312" w:cs="仿宋_GB2312"/>
          <w:color w:val="000000" w:themeColor="text1"/>
          <w:sz w:val="30"/>
          <w:szCs w:val="30"/>
          <w14:textFill>
            <w14:solidFill>
              <w14:schemeClr w14:val="tx1"/>
            </w14:solidFill>
          </w14:textFill>
        </w:rPr>
        <w:t>万元，公务车运行维护费</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1.53</w:t>
      </w:r>
      <w:r>
        <w:rPr>
          <w:rFonts w:hint="eastAsia" w:ascii="仿宋_GB2312" w:hAnsi="仿宋_GB2312" w:eastAsia="仿宋_GB2312" w:cs="仿宋_GB2312"/>
          <w:color w:val="000000" w:themeColor="text1"/>
          <w:sz w:val="30"/>
          <w:szCs w:val="30"/>
          <w14:textFill>
            <w14:solidFill>
              <w14:schemeClr w14:val="tx1"/>
            </w14:solidFill>
          </w14:textFill>
        </w:rPr>
        <w:t>万元</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比去年减少4.73万元，</w:t>
      </w:r>
      <w:r>
        <w:rPr>
          <w:rFonts w:hint="eastAsia" w:ascii="仿宋_GB2312" w:hAnsi="仿宋_GB2312" w:eastAsia="仿宋_GB2312" w:cs="仿宋_GB2312"/>
          <w:color w:val="000000" w:themeColor="text1"/>
          <w:sz w:val="30"/>
          <w:szCs w:val="30"/>
          <w14:textFill>
            <w14:solidFill>
              <w14:schemeClr w14:val="tx1"/>
            </w14:solidFill>
          </w14:textFill>
        </w:rPr>
        <w:t>无公务用车购置</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三公经费实际支出低于预算数额</w:t>
      </w:r>
      <w:r>
        <w:rPr>
          <w:rFonts w:hint="eastAsia" w:ascii="仿宋_GB2312" w:hAnsi="仿宋_GB2312" w:eastAsia="仿宋_GB2312" w:cs="仿宋_GB2312"/>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spacing w:line="500" w:lineRule="exact"/>
        <w:ind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（二）履职效果情况</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应对疫情积极开展线上教学工作。应对疫情积极开展线上教学工作，周密制定疫情防控期间教学工作方案，对线上教学的时间安排和教学环节进行统一规范，统一要求、统一行动，有组织、成建制、全体系地开展在线教学，</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全年新增</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在线课程</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90</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门，</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丰富了学生课堂学习的选择性</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增加了课堂学习的灵活性，</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提高了课堂教学效果。</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2"/>
          <w:sz w:val="30"/>
          <w:szCs w:val="30"/>
          <w:lang w:val="en-US" w:eastAsia="zh-CN" w:bidi="ar-SA"/>
          <w14:textFill>
            <w14:solidFill>
              <w14:schemeClr w14:val="tx1"/>
            </w14:solidFill>
          </w14:textFill>
        </w:rPr>
        <w:t>2、扎实稳定做好毕业生就业工作。</w:t>
      </w:r>
      <w:r>
        <w:rPr>
          <w:rFonts w:hint="eastAsia" w:ascii="仿宋_GB2312" w:hAnsi="仿宋_GB2312" w:eastAsia="仿宋_GB2312" w:cs="仿宋_GB2312"/>
          <w:color w:val="000000" w:themeColor="text1"/>
          <w:sz w:val="30"/>
          <w:szCs w:val="30"/>
          <w14:textFill>
            <w14:solidFill>
              <w14:schemeClr w14:val="tx1"/>
            </w14:solidFill>
          </w14:textFill>
        </w:rPr>
        <w:t>学校严格按照教育部相关要求，按时规范做好了毕业生就业工作的信息发布、收集和数据统计工作，</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扎实开展就业市场开拓和毕业生就业指导帮扶，</w:t>
      </w:r>
      <w:r>
        <w:rPr>
          <w:rFonts w:hint="eastAsia" w:ascii="仿宋_GB2312" w:hAnsi="仿宋_GB2312" w:eastAsia="仿宋_GB2312" w:cs="仿宋_GB2312"/>
          <w:color w:val="000000" w:themeColor="text1"/>
          <w:kern w:val="2"/>
          <w:sz w:val="30"/>
          <w:szCs w:val="30"/>
          <w:lang w:val="en-US" w:eastAsia="zh-CN" w:bidi="ar-SA"/>
          <w14:textFill>
            <w14:solidFill>
              <w14:schemeClr w14:val="tx1"/>
            </w14:solidFill>
          </w14:textFill>
        </w:rPr>
        <w:t>2021届高职毕业生就业率为89.63%。直接就业人数为205人，平均工资2563.6元，升入高一级学校人数为16人，对口就业率为82.1%。2021年中职毕业生</w:t>
      </w:r>
      <w:r>
        <w:rPr>
          <w:rFonts w:hint="eastAsia" w:ascii="仿宋_GB2312" w:hAnsi="仿宋_GB2312" w:eastAsia="仿宋_GB2312" w:cs="仿宋_GB2312"/>
          <w:color w:val="000000" w:themeColor="text1"/>
          <w:sz w:val="30"/>
          <w:szCs w:val="30"/>
          <w14:textFill>
            <w14:solidFill>
              <w14:schemeClr w14:val="tx1"/>
            </w14:solidFill>
          </w14:textFill>
        </w:rPr>
        <w:t>就业人数为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1778</w:t>
      </w:r>
      <w:r>
        <w:rPr>
          <w:rFonts w:hint="eastAsia" w:ascii="仿宋_GB2312" w:hAnsi="仿宋_GB2312" w:eastAsia="仿宋_GB2312" w:cs="仿宋_GB2312"/>
          <w:color w:val="000000" w:themeColor="text1"/>
          <w:sz w:val="30"/>
          <w:szCs w:val="30"/>
          <w14:textFill>
            <w14:solidFill>
              <w14:schemeClr w14:val="tx1"/>
            </w14:solidFill>
          </w14:textFill>
        </w:rPr>
        <w:t>人，就业率为98.6</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直接就业人数为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372</w:t>
      </w:r>
      <w:r>
        <w:rPr>
          <w:rFonts w:hint="eastAsia" w:ascii="仿宋_GB2312" w:hAnsi="仿宋_GB2312" w:eastAsia="仿宋_GB2312" w:cs="仿宋_GB2312"/>
          <w:color w:val="000000" w:themeColor="text1"/>
          <w:sz w:val="30"/>
          <w:szCs w:val="30"/>
          <w14:textFill>
            <w14:solidFill>
              <w14:schemeClr w14:val="tx1"/>
            </w14:solidFill>
          </w14:textFill>
        </w:rPr>
        <w:t>人，升入高一级学校人数为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1406</w:t>
      </w:r>
      <w:r>
        <w:rPr>
          <w:rFonts w:hint="eastAsia" w:ascii="仿宋_GB2312" w:hAnsi="仿宋_GB2312" w:eastAsia="仿宋_GB2312" w:cs="仿宋_GB2312"/>
          <w:color w:val="000000" w:themeColor="text1"/>
          <w:sz w:val="30"/>
          <w:szCs w:val="30"/>
          <w14:textFill>
            <w14:solidFill>
              <w14:schemeClr w14:val="tx1"/>
            </w14:solidFill>
          </w14:textFill>
        </w:rPr>
        <w:t>人</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对口就业率为9</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40</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，2021年</w:t>
      </w:r>
      <w:r>
        <w:rPr>
          <w:rFonts w:hint="eastAsia" w:ascii="仿宋_GB2312" w:hAnsi="仿宋_GB2312" w:eastAsia="仿宋_GB2312" w:cs="仿宋_GB2312"/>
          <w:color w:val="000000" w:themeColor="text1"/>
          <w:sz w:val="30"/>
          <w:szCs w:val="30"/>
          <w14:textFill>
            <w14:solidFill>
              <w14:schemeClr w14:val="tx1"/>
            </w14:solidFill>
          </w14:textFill>
        </w:rPr>
        <w:t>毕业生整体就业率</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均算</w:t>
      </w:r>
      <w:r>
        <w:rPr>
          <w:rFonts w:hint="eastAsia" w:ascii="仿宋_GB2312" w:hAnsi="仿宋_GB2312" w:eastAsia="仿宋_GB2312" w:cs="仿宋_GB2312"/>
          <w:color w:val="000000" w:themeColor="text1"/>
          <w:sz w:val="30"/>
          <w:szCs w:val="30"/>
          <w14:textFill>
            <w14:solidFill>
              <w14:schemeClr w14:val="tx1"/>
            </w14:solidFill>
          </w14:textFill>
        </w:rPr>
        <w:t>为</w:t>
      </w:r>
      <w:r>
        <w:rPr>
          <w:rFonts w:hint="eastAsia" w:ascii="仿宋_GB2312" w:hAnsi="仿宋_GB2312" w:eastAsia="仿宋_GB2312" w:cs="仿宋_GB2312"/>
          <w:color w:val="000000" w:themeColor="text1"/>
          <w:kern w:val="2"/>
          <w:sz w:val="30"/>
          <w:szCs w:val="30"/>
          <w:lang w:val="en-US" w:eastAsia="zh-CN" w:bidi="ar-SA"/>
          <w14:textFill>
            <w14:solidFill>
              <w14:schemeClr w14:val="tx1"/>
            </w14:solidFill>
          </w14:textFill>
        </w:rPr>
        <w:t>94.12</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同时，为进一步提高毕业生就业技能，努力为萍乡市养老托育事业培养本土化人才助力，学校还组织了护理学院、康养管理学院联合组建研究团队，与安源区白源街荷塘社区共同打造“好邻里”社区居家养老中心，探索城市社区养老模式，与芦溪县紫溪村联合成立乡村振兴康养中心，积极探索“嵌入式”养老模式，服务乡村振兴，致力于打造中国养老的萍乡模式，</w:t>
      </w:r>
      <w:r>
        <w:rPr>
          <w:rFonts w:hint="eastAsia" w:ascii="仿宋_GB2312" w:hAnsi="仿宋_GB2312" w:eastAsia="仿宋_GB2312" w:cs="仿宋_GB2312"/>
          <w:color w:val="000000" w:themeColor="text1"/>
          <w:sz w:val="30"/>
          <w:szCs w:val="30"/>
          <w14:textFill>
            <w14:solidFill>
              <w14:schemeClr w14:val="tx1"/>
            </w14:solidFill>
          </w14:textFill>
        </w:rPr>
        <w:t>为地方经济发展提供了有效的人力支撑。</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2"/>
          <w:sz w:val="30"/>
          <w:szCs w:val="30"/>
          <w:lang w:val="en-US" w:eastAsia="zh-CN" w:bidi="ar-SA"/>
          <w14:textFill>
            <w14:solidFill>
              <w14:schemeClr w14:val="tx1"/>
            </w14:solidFill>
          </w14:textFill>
        </w:rPr>
        <w:t>经统计，毕业生对母校的满意度为97.07%，雇主满意度为96.09%，说明学生对于在校学习期间能够很好的掌握并且熟练运用学到的知识，用人单位对于我校毕业生的工作能力给予充分的肯定。</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校园信息化工作持续推进。</w:t>
      </w:r>
      <w:r>
        <w:rPr>
          <w:rFonts w:hint="eastAsia" w:ascii="仿宋_GB2312" w:hAnsi="仿宋_GB2312" w:eastAsia="仿宋_GB2312" w:cs="仿宋_GB2312"/>
          <w:color w:val="000000" w:themeColor="text1"/>
          <w:sz w:val="30"/>
          <w:szCs w:val="30"/>
          <w14:textFill>
            <w14:solidFill>
              <w14:schemeClr w14:val="tx1"/>
            </w14:solidFill>
          </w14:textFill>
        </w:rPr>
        <w:t>学院完善了基础网络建设，建成了“万兆主干、千兆到楼、百兆/千兆桌面”的有线校园网。</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积极举办了网络安全知识专题讲座和网络安全技能竞赛，编制了《网络安全知识手册》，进一步提高了网络安全的保障能力。</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攻坚克难进一步改善学校办学条件。学校办学条件持续改善。校园基础设施建设进一步加快，持续抓好校园设施提质改造，紧急完成</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高职</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学生</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公寓</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改造项目，确保学生顺利入住；完成校园零星维修</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工程</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5项。“平安校园”建设水平有新提升，消防设施硬件建设进一步加强，新增视频监控摄像头</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30</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个，视频监控系统实现重要出入口、重要路口、重点部位全覆盖。</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w:t>
      </w:r>
      <w:r>
        <w:rPr>
          <w:rFonts w:hint="eastAsia" w:ascii="仿宋_GB2312" w:hAnsi="仿宋_GB2312" w:eastAsia="仿宋_GB2312" w:cs="仿宋_GB2312"/>
          <w:color w:val="000000" w:themeColor="text1"/>
          <w:sz w:val="30"/>
          <w:szCs w:val="30"/>
          <w14:textFill>
            <w14:solidFill>
              <w14:schemeClr w14:val="tx1"/>
            </w14:solidFill>
          </w14:textFill>
        </w:rPr>
        <w:t>、努力实现校园绿化美化。全年定期对所有绿化区域进行了施肥、修剪及固定区域植物花草的供给摆放。完成了广场、主教学楼前的绿化提质改造工作，通过实施校园环境净化、绿化、美化工程，进一步改善我校环境建设，全力维护学生的安全与稳定，使教师的教学环境和学生的学习环境都能得到进一步改善，为广大师生服务。</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疫情防控工作扎实有效。学校党委高度重视疫情防控，坚决贯彻执行习近平总书记对疫情防控工作的指示精神和中央、省市委决策部署，第一时间召开专题会议，研究部署、落实</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上级各项</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举措，抗疫工作扎实开展。</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2000余名毕业生返校实习，100余</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名学生暑假在校进行</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技能竞赛</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培训，老生秋季开学返校和新生入学报到</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平稳就绪</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通过常态化学生管理，校园宣传</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防护用品发放、</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环境</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消杀</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整治、</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教师培训等手段</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，有力地保护了师生生命安全和健康</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在做好疫情防控工作的同时，积极营造了健康、有序的校园文化氛围</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通过以上计划的实施，学校教育教学能力得到大幅提升，综合办学能力、办学声誉不断提高，教职工和学生家长满意度均达95%以上。</w:t>
      </w:r>
    </w:p>
    <w:p>
      <w:pPr>
        <w:pStyle w:val="5"/>
        <w:keepNext w:val="0"/>
        <w:keepLines w:val="0"/>
        <w:pageBreakBefore w:val="0"/>
        <w:shd w:val="clear" w:color="auto" w:fill="FFFFFF"/>
        <w:kinsoku/>
        <w:wordWrap/>
        <w:overflowPunct/>
        <w:topLinePunct w:val="0"/>
        <w:autoSpaceDE/>
        <w:autoSpaceDN/>
        <w:bidi w:val="0"/>
        <w:spacing w:line="500" w:lineRule="exact"/>
        <w:ind w:left="563" w:leftChars="268" w:firstLine="161" w:firstLineChars="50"/>
        <w:jc w:val="both"/>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三、</w:t>
      </w: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部门</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整体支出绩效中存在问题及改进措施</w:t>
      </w:r>
    </w:p>
    <w:p>
      <w:pPr>
        <w:pStyle w:val="5"/>
        <w:keepNext w:val="0"/>
        <w:keepLines w:val="0"/>
        <w:pageBreakBefore w:val="0"/>
        <w:shd w:val="clear" w:color="auto" w:fill="FFFFFF"/>
        <w:kinsoku/>
        <w:wordWrap/>
        <w:overflowPunct/>
        <w:topLinePunct w:val="0"/>
        <w:autoSpaceDE/>
        <w:autoSpaceDN/>
        <w:bidi w:val="0"/>
        <w:spacing w:line="500" w:lineRule="exact"/>
        <w:ind w:left="563" w:leftChars="268" w:firstLine="151" w:firstLineChars="50"/>
        <w:jc w:val="both"/>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（一）主要</w:t>
      </w:r>
      <w:r>
        <w:rPr>
          <w:rFonts w:hint="eastAsia" w:ascii="仿宋_GB2312" w:hAnsi="仿宋_GB2312" w:eastAsia="仿宋_GB2312" w:cs="仿宋_GB2312"/>
          <w:b/>
          <w:color w:val="000000" w:themeColor="text1"/>
          <w:sz w:val="30"/>
          <w:szCs w:val="30"/>
          <w:lang w:val="en-US" w:eastAsia="zh-CN"/>
          <w14:textFill>
            <w14:solidFill>
              <w14:schemeClr w14:val="tx1"/>
            </w14:solidFill>
          </w14:textFill>
        </w:rPr>
        <w:t>问题及</w:t>
      </w:r>
      <w:r>
        <w:rPr>
          <w:rFonts w:hint="eastAsia" w:ascii="仿宋_GB2312" w:hAnsi="仿宋_GB2312" w:eastAsia="仿宋_GB2312" w:cs="仿宋_GB2312"/>
          <w:b/>
          <w:color w:val="000000" w:themeColor="text1"/>
          <w:sz w:val="30"/>
          <w:szCs w:val="30"/>
          <w14:textFill>
            <w14:solidFill>
              <w14:schemeClr w14:val="tx1"/>
            </w14:solidFill>
          </w14:textFill>
        </w:rPr>
        <w:t>原因分析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right="0" w:firstLine="600" w:firstLineChars="200"/>
        <w:textAlignment w:val="auto"/>
        <w:rPr>
          <w:rFonts w:hint="eastAsia" w:ascii="仿宋_GB2312" w:hAnsi="仿宋_GB2312" w:eastAsia="仿宋_GB2312" w:cs="仿宋_GB2312"/>
          <w:b w:val="0"/>
          <w:bCs/>
          <w:i w:val="0"/>
          <w:iCs w:val="0"/>
          <w:caps w:val="0"/>
          <w:color w:val="000000" w:themeColor="text1"/>
          <w:spacing w:val="0"/>
          <w:sz w:val="30"/>
          <w:szCs w:val="30"/>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0"/>
          <w:szCs w:val="30"/>
          <w:lang w:val="en-US" w:eastAsia="zh-CN"/>
          <w14:textFill>
            <w14:solidFill>
              <w14:schemeClr w14:val="tx1"/>
            </w14:solidFill>
          </w14:textFill>
        </w:rPr>
        <w:t>1、</w:t>
      </w:r>
      <w:r>
        <w:rPr>
          <w:rStyle w:val="8"/>
          <w:rFonts w:hint="eastAsia" w:ascii="仿宋_GB2312" w:hAnsi="仿宋_GB2312" w:eastAsia="仿宋_GB2312" w:cs="仿宋_GB2312"/>
          <w:b w:val="0"/>
          <w:bCs/>
          <w:i w:val="0"/>
          <w:iCs w:val="0"/>
          <w:caps w:val="0"/>
          <w:color w:val="000000" w:themeColor="text1"/>
          <w:spacing w:val="0"/>
          <w:sz w:val="30"/>
          <w:szCs w:val="30"/>
          <w14:textFill>
            <w14:solidFill>
              <w14:schemeClr w14:val="tx1"/>
            </w14:solidFill>
          </w14:textFill>
        </w:rPr>
        <w:t>学校一般公共预算项目资金预算执行率有待提高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right="0" w:firstLine="600" w:firstLineChars="200"/>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年度学校</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个别</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项目资金的执行率低于预算支出执行率。主要原因：</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例如公共卫生学科职业教育建设项目</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一次性下达到学校，而该项目为基本建设项目，时间较长，前期资金需求较少，故</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当年</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该项目</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未能全部完成支出。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right="0" w:firstLine="600" w:firstLineChars="200"/>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2、绩效指标设定的科学性有待加强，管理制度有待进一步健全完善，年初预算绩效指标细化和量化还不够精准。</w:t>
      </w:r>
    </w:p>
    <w:p>
      <w:pPr>
        <w:keepNext w:val="0"/>
        <w:keepLines w:val="0"/>
        <w:pageBreakBefore w:val="0"/>
        <w:widowControl/>
        <w:kinsoku/>
        <w:wordWrap/>
        <w:overflowPunct/>
        <w:topLinePunct w:val="0"/>
        <w:autoSpaceDE/>
        <w:autoSpaceDN/>
        <w:bidi w:val="0"/>
        <w:spacing w:line="500" w:lineRule="exact"/>
        <w:ind w:firstLine="602" w:firstLineChars="200"/>
        <w:textAlignment w:val="auto"/>
        <w:rPr>
          <w:rFonts w:hint="eastAsia"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（二）改进方向和措施</w:t>
      </w:r>
    </w:p>
    <w:p>
      <w:pPr>
        <w:keepNext w:val="0"/>
        <w:keepLines w:val="0"/>
        <w:pageBreakBefore w:val="0"/>
        <w:widowControl/>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针对上述存在的问题及我</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校</w:t>
      </w:r>
      <w:r>
        <w:rPr>
          <w:rFonts w:hint="eastAsia" w:ascii="仿宋_GB2312" w:hAnsi="仿宋_GB2312" w:eastAsia="仿宋_GB2312" w:cs="仿宋_GB2312"/>
          <w:color w:val="000000" w:themeColor="text1"/>
          <w:kern w:val="0"/>
          <w:sz w:val="30"/>
          <w:szCs w:val="30"/>
          <w14:textFill>
            <w14:solidFill>
              <w14:schemeClr w14:val="tx1"/>
            </w14:solidFill>
          </w14:textFill>
        </w:rPr>
        <w:t>整体支出管理工作的需要，拟实施的改进措施如下：</w:t>
      </w:r>
    </w:p>
    <w:p>
      <w:pPr>
        <w:keepNext w:val="0"/>
        <w:keepLines w:val="0"/>
        <w:pageBreakBefore w:val="0"/>
        <w:widowControl/>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1、提高项目资金预算执行率</w:t>
      </w:r>
    </w:p>
    <w:p>
      <w:pPr>
        <w:keepNext w:val="0"/>
        <w:keepLines w:val="0"/>
        <w:pageBreakBefore w:val="0"/>
        <w:widowControl/>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学校层面，首先在项目申报时要把项目资金支付与资金下拨进度匹配好，如果项目前期准备时间较长，而资金支出主要集中在中后期，在申请项目时就要减少前面批次下拨的资金，增加后面批次的资金；财政层面，若是当年11月份仍无法下拨且不紧急的项目资金，建议是否可次年再下拨。</w:t>
      </w:r>
    </w:p>
    <w:p>
      <w:pPr>
        <w:keepNext w:val="0"/>
        <w:keepLines w:val="0"/>
        <w:pageBreakBefore w:val="0"/>
        <w:widowControl/>
        <w:numPr>
          <w:ilvl w:val="0"/>
          <w:numId w:val="1"/>
        </w:numPr>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细化预算指标，提高预算科学性</w:t>
      </w:r>
    </w:p>
    <w:p>
      <w:pPr>
        <w:keepNext w:val="0"/>
        <w:keepLines w:val="0"/>
        <w:pageBreakBefore w:val="0"/>
        <w:widowControl/>
        <w:numPr>
          <w:ilvl w:val="0"/>
          <w:numId w:val="0"/>
        </w:numPr>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预算编制前根据年度内单位可预见的工作任务，确定单位年度预算目标，细化预算指标，科学合</w:t>
      </w:r>
      <w:bookmarkStart w:id="0" w:name="_GoBack"/>
      <w:bookmarkEnd w:id="0"/>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理编制部门预算，推进预算编制科学化、准确化。年度预算编制后，根据实际情况，定期做好预算执行分析，掌握预算执行进度，为下一次科学、准确地编制部门预算积累经验。</w:t>
      </w:r>
    </w:p>
    <w:p>
      <w:pPr>
        <w:pStyle w:val="5"/>
        <w:keepNext w:val="0"/>
        <w:keepLines w:val="0"/>
        <w:pageBreakBefore w:val="0"/>
        <w:shd w:val="clear" w:color="auto" w:fill="FFFFFF"/>
        <w:kinsoku/>
        <w:wordWrap/>
        <w:overflowPunct/>
        <w:topLinePunct w:val="0"/>
        <w:autoSpaceDE/>
        <w:autoSpaceDN/>
        <w:bidi w:val="0"/>
        <w:spacing w:line="500" w:lineRule="exact"/>
        <w:ind w:left="562"/>
        <w:jc w:val="both"/>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四、绩效自评结果拟应用和公开情况</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2021年</w:t>
      </w:r>
      <w:r>
        <w:rPr>
          <w:rFonts w:hint="eastAsia" w:ascii="仿宋_GB2312" w:hAnsi="仿宋_GB2312" w:eastAsia="仿宋_GB2312" w:cs="仿宋_GB2312"/>
          <w:color w:val="000000" w:themeColor="text1"/>
          <w:sz w:val="30"/>
          <w:szCs w:val="30"/>
          <w14:textFill>
            <w14:solidFill>
              <w14:schemeClr w14:val="tx1"/>
            </w14:solidFill>
          </w14:textFill>
        </w:rPr>
        <w:t>萍乡市卫生学校</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萍乡卫生职业学院</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整体支出绩效自评得分9</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w:t>
      </w:r>
      <w:r>
        <w:rPr>
          <w:rFonts w:hint="eastAsia" w:ascii="仿宋_GB2312" w:hAnsi="仿宋_GB2312" w:eastAsia="仿宋_GB2312" w:cs="仿宋_GB2312"/>
          <w:color w:val="000000" w:themeColor="text1"/>
          <w:sz w:val="30"/>
          <w:szCs w:val="30"/>
          <w14:textFill>
            <w14:solidFill>
              <w14:schemeClr w14:val="tx1"/>
            </w14:solidFill>
          </w14:textFill>
        </w:rPr>
        <w:t>分，绩效未公开。</w:t>
      </w:r>
    </w:p>
    <w:p>
      <w:pPr>
        <w:keepNext w:val="0"/>
        <w:keepLines w:val="0"/>
        <w:pageBreakBefore w:val="0"/>
        <w:kinsoku/>
        <w:wordWrap/>
        <w:overflowPunct/>
        <w:topLinePunct w:val="0"/>
        <w:autoSpaceDE/>
        <w:autoSpaceDN/>
        <w:bidi w:val="0"/>
        <w:spacing w:line="500" w:lineRule="exact"/>
        <w:ind w:firstLine="600" w:firstLineChars="200"/>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spacing w:line="500" w:lineRule="exact"/>
        <w:ind w:firstLine="600" w:firstLineChars="20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萍乡市卫生学</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校  </w:t>
      </w:r>
    </w:p>
    <w:p>
      <w:pPr>
        <w:keepNext w:val="0"/>
        <w:keepLines w:val="0"/>
        <w:pageBreakBefore w:val="0"/>
        <w:kinsoku/>
        <w:wordWrap/>
        <w:overflowPunct/>
        <w:topLinePunct w:val="0"/>
        <w:autoSpaceDE/>
        <w:autoSpaceDN/>
        <w:bidi w:val="0"/>
        <w:spacing w:line="500" w:lineRule="exact"/>
        <w:ind w:firstLine="560" w:firstLineChars="20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年4月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color w:val="000000" w:themeColor="text1"/>
          <w:sz w:val="28"/>
          <w:szCs w:val="28"/>
          <w14:textFill>
            <w14:solidFill>
              <w14:schemeClr w14:val="tx1"/>
            </w14:solidFill>
          </w14:textFill>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610666"/>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19CEED"/>
    <w:multiLevelType w:val="singleLevel"/>
    <w:tmpl w:val="4619CEE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4ODE4YWZmYzI0ODgyODA2OGZlMjU1ODRkYTM3OGEifQ=="/>
  </w:docVars>
  <w:rsids>
    <w:rsidRoot w:val="00027959"/>
    <w:rsid w:val="000059EE"/>
    <w:rsid w:val="00027959"/>
    <w:rsid w:val="000307B6"/>
    <w:rsid w:val="0003768E"/>
    <w:rsid w:val="00097857"/>
    <w:rsid w:val="000A5913"/>
    <w:rsid w:val="000D0388"/>
    <w:rsid w:val="00151D00"/>
    <w:rsid w:val="001B18F4"/>
    <w:rsid w:val="001E1EAD"/>
    <w:rsid w:val="001E5E07"/>
    <w:rsid w:val="001E7F42"/>
    <w:rsid w:val="00295AFB"/>
    <w:rsid w:val="002B48E2"/>
    <w:rsid w:val="002C128A"/>
    <w:rsid w:val="002C7B13"/>
    <w:rsid w:val="002D1A3F"/>
    <w:rsid w:val="002E44E7"/>
    <w:rsid w:val="00355A49"/>
    <w:rsid w:val="00374529"/>
    <w:rsid w:val="00375ECB"/>
    <w:rsid w:val="003A30AE"/>
    <w:rsid w:val="003C0137"/>
    <w:rsid w:val="003C64B1"/>
    <w:rsid w:val="0040784C"/>
    <w:rsid w:val="004644F0"/>
    <w:rsid w:val="00540003"/>
    <w:rsid w:val="00584175"/>
    <w:rsid w:val="0063054E"/>
    <w:rsid w:val="00652BF6"/>
    <w:rsid w:val="00693163"/>
    <w:rsid w:val="006A0E00"/>
    <w:rsid w:val="006C0375"/>
    <w:rsid w:val="006F2F20"/>
    <w:rsid w:val="00753AF7"/>
    <w:rsid w:val="00772CC7"/>
    <w:rsid w:val="007753CB"/>
    <w:rsid w:val="007A78AB"/>
    <w:rsid w:val="007C4A06"/>
    <w:rsid w:val="008021EA"/>
    <w:rsid w:val="00877332"/>
    <w:rsid w:val="008B22F0"/>
    <w:rsid w:val="00905795"/>
    <w:rsid w:val="009204BA"/>
    <w:rsid w:val="00952EC3"/>
    <w:rsid w:val="00965566"/>
    <w:rsid w:val="00A0168A"/>
    <w:rsid w:val="00A071DA"/>
    <w:rsid w:val="00A351F5"/>
    <w:rsid w:val="00A469EF"/>
    <w:rsid w:val="00A65B71"/>
    <w:rsid w:val="00A704CC"/>
    <w:rsid w:val="00AC1B53"/>
    <w:rsid w:val="00AE3231"/>
    <w:rsid w:val="00AF4250"/>
    <w:rsid w:val="00B12001"/>
    <w:rsid w:val="00B45681"/>
    <w:rsid w:val="00B83BEC"/>
    <w:rsid w:val="00B9336D"/>
    <w:rsid w:val="00BE6836"/>
    <w:rsid w:val="00C00653"/>
    <w:rsid w:val="00C60B61"/>
    <w:rsid w:val="00CD50E9"/>
    <w:rsid w:val="00D27777"/>
    <w:rsid w:val="00D33A94"/>
    <w:rsid w:val="00DC03F5"/>
    <w:rsid w:val="00E12D36"/>
    <w:rsid w:val="00E83604"/>
    <w:rsid w:val="00EA2719"/>
    <w:rsid w:val="00EA2945"/>
    <w:rsid w:val="00EB312E"/>
    <w:rsid w:val="00F35BF0"/>
    <w:rsid w:val="00F80744"/>
    <w:rsid w:val="00F937D9"/>
    <w:rsid w:val="00FD2906"/>
    <w:rsid w:val="01155F77"/>
    <w:rsid w:val="0460577D"/>
    <w:rsid w:val="0DE568D4"/>
    <w:rsid w:val="15D3211D"/>
    <w:rsid w:val="163A0910"/>
    <w:rsid w:val="17AA5045"/>
    <w:rsid w:val="1AF22DC2"/>
    <w:rsid w:val="1CF07D6D"/>
    <w:rsid w:val="21BD015E"/>
    <w:rsid w:val="299E15D1"/>
    <w:rsid w:val="29AD28CC"/>
    <w:rsid w:val="2D5C6C14"/>
    <w:rsid w:val="2F612E37"/>
    <w:rsid w:val="31C2556F"/>
    <w:rsid w:val="38112CF3"/>
    <w:rsid w:val="41EC76F9"/>
    <w:rsid w:val="446C1E9B"/>
    <w:rsid w:val="4FD44B83"/>
    <w:rsid w:val="58D53ED8"/>
    <w:rsid w:val="5AE27CB7"/>
    <w:rsid w:val="5C1D18F8"/>
    <w:rsid w:val="5D23583A"/>
    <w:rsid w:val="63C27918"/>
    <w:rsid w:val="66AB7B9D"/>
    <w:rsid w:val="67626E69"/>
    <w:rsid w:val="67E11D7D"/>
    <w:rsid w:val="6D415505"/>
    <w:rsid w:val="717F68A2"/>
    <w:rsid w:val="72A36282"/>
    <w:rsid w:val="77D949B9"/>
    <w:rsid w:val="7B2545B6"/>
    <w:rsid w:val="7DE3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微软雅黑" w:hAnsi="微软雅黑" w:eastAsia="宋体" w:cs="宋体"/>
      <w:kern w:val="0"/>
      <w:sz w:val="24"/>
      <w:szCs w:val="24"/>
    </w:rPr>
  </w:style>
  <w:style w:type="character" w:styleId="8">
    <w:name w:val="Strong"/>
    <w:basedOn w:val="7"/>
    <w:qFormat/>
    <w:uiPriority w:val="22"/>
    <w:rPr>
      <w:b/>
    </w:rPr>
  </w:style>
  <w:style w:type="character" w:styleId="9">
    <w:name w:val="FollowedHyperlink"/>
    <w:basedOn w:val="7"/>
    <w:semiHidden/>
    <w:unhideWhenUsed/>
    <w:qFormat/>
    <w:uiPriority w:val="99"/>
    <w:rPr>
      <w:color w:val="262626"/>
      <w:sz w:val="18"/>
      <w:szCs w:val="18"/>
      <w:u w:val="none"/>
    </w:rPr>
  </w:style>
  <w:style w:type="character" w:styleId="10">
    <w:name w:val="Hyperlink"/>
    <w:basedOn w:val="7"/>
    <w:semiHidden/>
    <w:unhideWhenUsed/>
    <w:qFormat/>
    <w:uiPriority w:val="99"/>
    <w:rPr>
      <w:color w:val="262626"/>
      <w:sz w:val="18"/>
      <w:szCs w:val="18"/>
      <w:u w:val="none"/>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99"/>
    <w:rPr>
      <w:kern w:val="2"/>
      <w:sz w:val="18"/>
      <w:szCs w:val="18"/>
    </w:rPr>
  </w:style>
  <w:style w:type="character" w:customStyle="1" w:styleId="13">
    <w:name w:val="页脚 Char"/>
    <w:basedOn w:val="7"/>
    <w:link w:val="3"/>
    <w:qFormat/>
    <w:uiPriority w:val="99"/>
    <w:rPr>
      <w:kern w:val="2"/>
      <w:sz w:val="18"/>
      <w:szCs w:val="18"/>
    </w:rPr>
  </w:style>
  <w:style w:type="character" w:customStyle="1" w:styleId="14">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5">
    <w:name w:val="item-name"/>
    <w:basedOn w:val="7"/>
    <w:qFormat/>
    <w:uiPriority w:val="0"/>
  </w:style>
  <w:style w:type="character" w:customStyle="1" w:styleId="16">
    <w:name w:val="item-name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5625</Words>
  <Characters>5936</Characters>
  <Lines>26</Lines>
  <Paragraphs>7</Paragraphs>
  <TotalTime>18</TotalTime>
  <ScaleCrop>false</ScaleCrop>
  <LinksUpToDate>false</LinksUpToDate>
  <CharactersWithSpaces>5993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2021-05-06T08:34:00Z</dcterms:created>
  <dc:creator>微软用户</dc:creator>
  <cp:lastModifiedBy>嘻哈</cp:lastModifiedBy>
  <cp:lastPrinted>2022-04-20T01:39:00Z</cp:lastPrinted>
  <dcterms:modified xsi:type="dcterms:W3CDTF">2022-09-29T06:53:34Z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CE6E9A12A8714176BDA09254C69F4282</vt:lpwstr>
  </property>
</Properties>
</file>